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2A" w:rsidRPr="00D8072A" w:rsidRDefault="00D8072A">
      <w:r w:rsidRPr="00D8072A">
        <w:t xml:space="preserve">Amy </w:t>
      </w:r>
      <w:proofErr w:type="spellStart"/>
      <w:r w:rsidRPr="00D8072A">
        <w:t>Soldavini</w:t>
      </w:r>
      <w:proofErr w:type="spellEnd"/>
    </w:p>
    <w:p w:rsidR="00D8072A" w:rsidRPr="00D8072A" w:rsidRDefault="00D8072A">
      <w:r w:rsidRPr="00D8072A">
        <w:t>September 15, 2012</w:t>
      </w:r>
    </w:p>
    <w:p w:rsidR="00D8072A" w:rsidRPr="00D8072A" w:rsidRDefault="00D8072A">
      <w:r w:rsidRPr="00D8072A">
        <w:t>RSM542</w:t>
      </w:r>
    </w:p>
    <w:p w:rsidR="00D8072A" w:rsidRPr="00D8072A" w:rsidRDefault="00D8072A">
      <w:r w:rsidRPr="00D8072A">
        <w:t>Literature Review</w:t>
      </w:r>
    </w:p>
    <w:p w:rsidR="00D8072A" w:rsidRDefault="00D8072A">
      <w:pPr>
        <w:rPr>
          <w:b/>
        </w:rPr>
      </w:pPr>
    </w:p>
    <w:p w:rsidR="00433941" w:rsidRPr="00721A80" w:rsidRDefault="00433941">
      <w:pPr>
        <w:rPr>
          <w:b/>
        </w:rPr>
      </w:pPr>
      <w:r w:rsidRPr="00721A80">
        <w:rPr>
          <w:b/>
        </w:rPr>
        <w:t>Topic</w:t>
      </w:r>
      <w:r w:rsidR="0003185B">
        <w:rPr>
          <w:b/>
        </w:rPr>
        <w:t xml:space="preserve"> Description</w:t>
      </w:r>
    </w:p>
    <w:p w:rsidR="00433941" w:rsidRDefault="00433941">
      <w:pPr>
        <w:rPr>
          <w:b/>
        </w:rPr>
      </w:pPr>
    </w:p>
    <w:p w:rsidR="004049D6" w:rsidRDefault="00721A80">
      <w:r w:rsidRPr="00721A80">
        <w:t>Rapidly changing 21</w:t>
      </w:r>
      <w:r w:rsidRPr="00721A80">
        <w:rPr>
          <w:vertAlign w:val="superscript"/>
        </w:rPr>
        <w:t>st</w:t>
      </w:r>
      <w:r w:rsidRPr="00721A80">
        <w:t xml:space="preserve"> century technology</w:t>
      </w:r>
      <w:r>
        <w:t xml:space="preserve"> and the introduction of the </w:t>
      </w:r>
      <w:r w:rsidRPr="00721A80">
        <w:t xml:space="preserve">Common Core curriculum </w:t>
      </w:r>
      <w:r>
        <w:t>is allowing librarians to be vital school leaders like never before</w:t>
      </w:r>
      <w:r w:rsidR="00AE68A2">
        <w:t>. It is important that librarians embrace this new role and see themselves as a human resource and team partner. How does collaboration between librarians and teachers and the transformation of a traditional library into a learning commons increase student achievement?</w:t>
      </w:r>
      <w:r w:rsidR="004049D6">
        <w:t xml:space="preserve"> In my current school, the Common Core training began this year. Math, Language Arts, Social Studies and Science teachers are looking for ways to meet the standards through inquiry-based learning. Projects like this scare teachers </w:t>
      </w:r>
      <w:r w:rsidR="0003185B">
        <w:t xml:space="preserve">at times </w:t>
      </w:r>
      <w:r w:rsidR="004049D6">
        <w:t>because they feel they take too much time, and the teacher needs to turn over a certain amount of control for the learning.</w:t>
      </w:r>
      <w:r w:rsidR="0003185B">
        <w:t xml:space="preserve"> A librarian is perfectly placed to collaborate with teachers and train teachers on how to efficiently facilitate 21</w:t>
      </w:r>
      <w:r w:rsidR="0003185B" w:rsidRPr="0003185B">
        <w:rPr>
          <w:vertAlign w:val="superscript"/>
        </w:rPr>
        <w:t>st</w:t>
      </w:r>
      <w:r w:rsidR="0003185B">
        <w:t xml:space="preserve"> century learning aligned to the Common Core. During my interview with Peter Whitmore, it became obvious that he hopes Common Core can be a vehicle for a more collaborative and inquiry-based library.</w:t>
      </w:r>
    </w:p>
    <w:p w:rsidR="0003185B" w:rsidRDefault="0003185B"/>
    <w:p w:rsidR="00D8072A" w:rsidRPr="00D8072A" w:rsidRDefault="0003185B" w:rsidP="00D8072A">
      <w:pPr>
        <w:spacing w:before="120"/>
        <w:rPr>
          <w:b/>
        </w:rPr>
      </w:pPr>
      <w:r w:rsidRPr="0003185B">
        <w:rPr>
          <w:b/>
        </w:rPr>
        <w:t>Bibliographic Data</w:t>
      </w:r>
    </w:p>
    <w:p w:rsidR="00D8072A" w:rsidRPr="00BF1580" w:rsidRDefault="002A3F54" w:rsidP="00D8072A">
      <w:pPr>
        <w:spacing w:before="240"/>
        <w:ind w:left="720" w:hanging="720"/>
      </w:pPr>
      <w:r>
        <w:t xml:space="preserve">1. </w:t>
      </w:r>
      <w:proofErr w:type="spellStart"/>
      <w:r w:rsidR="00D8072A" w:rsidRPr="00EA77D1">
        <w:t>H</w:t>
      </w:r>
      <w:r w:rsidR="00D8072A">
        <w:t>iebert</w:t>
      </w:r>
      <w:proofErr w:type="spellEnd"/>
      <w:r w:rsidR="00D8072A" w:rsidRPr="00EA77D1">
        <w:t xml:space="preserve">, E. H. (2012). </w:t>
      </w:r>
      <w:proofErr w:type="gramStart"/>
      <w:r w:rsidR="00D8072A" w:rsidRPr="00EA77D1">
        <w:t xml:space="preserve">The Common Core State Standards and </w:t>
      </w:r>
      <w:r w:rsidR="00D8072A">
        <w:t>t</w:t>
      </w:r>
      <w:r w:rsidR="00D8072A" w:rsidRPr="00EA77D1">
        <w:t xml:space="preserve">ext </w:t>
      </w:r>
      <w:r w:rsidR="00D8072A">
        <w:t>c</w:t>
      </w:r>
      <w:r w:rsidR="00D8072A" w:rsidRPr="00EA77D1">
        <w:t>omplexity.</w:t>
      </w:r>
      <w:proofErr w:type="gramEnd"/>
      <w:r w:rsidR="00D8072A" w:rsidRPr="00EA77D1">
        <w:t> </w:t>
      </w:r>
      <w:proofErr w:type="gramStart"/>
      <w:r w:rsidR="00D8072A" w:rsidRPr="00EA77D1">
        <w:rPr>
          <w:i/>
        </w:rPr>
        <w:t>Teacher Librarian</w:t>
      </w:r>
      <w:r w:rsidR="00D8072A" w:rsidRPr="00EA77D1">
        <w:t>, </w:t>
      </w:r>
      <w:r w:rsidR="00D8072A" w:rsidRPr="00EA77D1">
        <w:rPr>
          <w:i/>
        </w:rPr>
        <w:t>39</w:t>
      </w:r>
      <w:r w:rsidR="00D8072A" w:rsidRPr="00EA77D1">
        <w:t>(5), 13-19.</w:t>
      </w:r>
      <w:proofErr w:type="gramEnd"/>
      <w:r w:rsidR="00186ABF">
        <w:t xml:space="preserve"> Retrieved from Academic Search Premier.</w:t>
      </w:r>
    </w:p>
    <w:p w:rsidR="00D8072A" w:rsidRDefault="00D8072A" w:rsidP="00D8072A">
      <w:pPr>
        <w:spacing w:before="120"/>
      </w:pPr>
      <w:r w:rsidRPr="00BF1580">
        <w:rPr>
          <w:u w:val="single"/>
        </w:rPr>
        <w:t>Main Idea:</w:t>
      </w:r>
      <w:r w:rsidRPr="00EA77D1">
        <w:t xml:space="preserve"> </w:t>
      </w:r>
      <w:r>
        <w:t xml:space="preserve">The Common Core places an emphasis on text complexity levels. This article examines how librarians can help teachers, students and parents navigate readability levels, especially when nonfiction selections may be rated higher for certain academic vocabulary. There is a limiting danger when texts are selected merely on readability formulas such as </w:t>
      </w:r>
      <w:proofErr w:type="spellStart"/>
      <w:r>
        <w:t>Lexile</w:t>
      </w:r>
      <w:proofErr w:type="spellEnd"/>
      <w:r>
        <w:t xml:space="preserve"> levels.</w:t>
      </w:r>
    </w:p>
    <w:p w:rsidR="00D8072A" w:rsidRDefault="00D8072A" w:rsidP="00D8072A">
      <w:pPr>
        <w:spacing w:before="120"/>
      </w:pPr>
      <w:r w:rsidRPr="00BF1580">
        <w:rPr>
          <w:u w:val="single"/>
        </w:rPr>
        <w:t>Findings:</w:t>
      </w:r>
      <w:r>
        <w:t xml:space="preserve"> The value and purpose of the librarian in remaining aware of current published selections and alignment to curriculum is highlighted. </w:t>
      </w:r>
      <w:proofErr w:type="spellStart"/>
      <w:r>
        <w:t>Hiebert</w:t>
      </w:r>
      <w:proofErr w:type="spellEnd"/>
      <w:r>
        <w:t xml:space="preserve"> concludes, “It </w:t>
      </w:r>
      <w:r w:rsidRPr="00BF1580">
        <w:t>is our nation's librarians who have the knowledge about the available text and media resources. American students and their teachers depend on librarians to uncover and navigate the world of information available in texts and media.</w:t>
      </w:r>
      <w:r>
        <w:t>”</w:t>
      </w:r>
    </w:p>
    <w:p w:rsidR="00D84086" w:rsidRPr="00D84086" w:rsidRDefault="002A3F54" w:rsidP="00D8072A">
      <w:pPr>
        <w:spacing w:before="360"/>
        <w:ind w:left="720" w:hanging="720"/>
      </w:pPr>
      <w:r>
        <w:t xml:space="preserve">2. </w:t>
      </w:r>
      <w:r w:rsidR="00D84086">
        <w:t>Morris, R. J. (2012). Find where you fit in the Common Core, or the time I forgot about librarians and r</w:t>
      </w:r>
      <w:r w:rsidR="00D84086" w:rsidRPr="00D84086">
        <w:t>eading. </w:t>
      </w:r>
      <w:proofErr w:type="gramStart"/>
      <w:r w:rsidR="00D84086" w:rsidRPr="00D84086">
        <w:rPr>
          <w:i/>
        </w:rPr>
        <w:t>Teacher Librarian</w:t>
      </w:r>
      <w:r w:rsidR="00D84086" w:rsidRPr="00D84086">
        <w:t>, </w:t>
      </w:r>
      <w:r w:rsidR="00D84086" w:rsidRPr="00D84086">
        <w:rPr>
          <w:i/>
        </w:rPr>
        <w:t>39</w:t>
      </w:r>
      <w:r w:rsidR="00D84086" w:rsidRPr="00D84086">
        <w:t>(5), 8-12.</w:t>
      </w:r>
      <w:proofErr w:type="gramEnd"/>
      <w:r w:rsidR="00186ABF">
        <w:t xml:space="preserve"> Retrieved from Academic Search Premier.</w:t>
      </w:r>
    </w:p>
    <w:p w:rsidR="00593AFE" w:rsidRDefault="00593AFE" w:rsidP="00593AFE">
      <w:pPr>
        <w:spacing w:before="120"/>
      </w:pPr>
      <w:r w:rsidRPr="00BF1580">
        <w:rPr>
          <w:u w:val="single"/>
        </w:rPr>
        <w:t>Main Idea:</w:t>
      </w:r>
      <w:r w:rsidRPr="00EA77D1">
        <w:t xml:space="preserve"> </w:t>
      </w:r>
      <w:r w:rsidR="00D84086">
        <w:t>This article discusses that in a push to emphasize all that a librarian does in addition to helping students develop a love of reading and an increased ability in reading comprehension, sometimes we forget to emphasize the value librarians serve in student achievement due to reading ability levels.</w:t>
      </w:r>
      <w:r w:rsidR="001A22DF">
        <w:t xml:space="preserve"> </w:t>
      </w:r>
    </w:p>
    <w:p w:rsidR="007D0F2B" w:rsidRDefault="00593AFE" w:rsidP="001A22DF">
      <w:pPr>
        <w:spacing w:before="120"/>
      </w:pPr>
      <w:r w:rsidRPr="00BF1580">
        <w:rPr>
          <w:u w:val="single"/>
        </w:rPr>
        <w:t>Findings:</w:t>
      </w:r>
      <w:r>
        <w:t xml:space="preserve"> </w:t>
      </w:r>
      <w:r w:rsidR="001A22DF">
        <w:t xml:space="preserve">Morris reminds </w:t>
      </w:r>
      <w:proofErr w:type="gramStart"/>
      <w:r w:rsidR="001A22DF">
        <w:t>us that</w:t>
      </w:r>
      <w:proofErr w:type="gramEnd"/>
      <w:r w:rsidR="001A22DF">
        <w:t xml:space="preserve"> “b</w:t>
      </w:r>
      <w:r w:rsidR="001A22DF" w:rsidRPr="001A22DF">
        <w:t>y sharing excitement about the reading part of research and of course by designing instruction that supports it, librarians can motivate students to interact more purposefully and deeply with information.</w:t>
      </w:r>
      <w:r w:rsidR="001A22DF">
        <w:t>” Librarians are already built in experts trained at how to help students and teachers with construction of knowledge through multiple texts. Morris emphasizes that “w</w:t>
      </w:r>
      <w:r>
        <w:t>ith the ‘</w:t>
      </w:r>
      <w:r w:rsidRPr="00593AFE">
        <w:t>thoughtful engagement with high-quality l</w:t>
      </w:r>
      <w:r>
        <w:t>iterary and informational texts’</w:t>
      </w:r>
      <w:r w:rsidRPr="00593AFE">
        <w:t xml:space="preserve"> piece of the Common Core vision of a literate person in the 21st century, school librarians have a clear and timely opportunity to lead the implementation of the Common Core, specifically with reading but also with writing, critical thinking, problem solving, and other areas of the CC</w:t>
      </w:r>
      <w:r>
        <w:t>SS that might not spell out ‘school librarian’</w:t>
      </w:r>
      <w:r w:rsidRPr="00593AFE">
        <w:t>--but speak clearly to the competencies of school library professionals.</w:t>
      </w:r>
      <w:r>
        <w:t>”</w:t>
      </w:r>
      <w:r w:rsidRPr="00593AFE">
        <w:t> </w:t>
      </w:r>
    </w:p>
    <w:p w:rsidR="00AD771D" w:rsidRPr="00AD771D" w:rsidRDefault="002A3F54" w:rsidP="00186ABF">
      <w:pPr>
        <w:spacing w:before="240"/>
        <w:ind w:left="720" w:hanging="720"/>
      </w:pPr>
      <w:r>
        <w:t xml:space="preserve">3. </w:t>
      </w:r>
      <w:r w:rsidR="00AD771D">
        <w:t>Hill, R. (2012). All a</w:t>
      </w:r>
      <w:r w:rsidR="00AD771D" w:rsidRPr="00AD771D">
        <w:t>board</w:t>
      </w:r>
      <w:proofErr w:type="gramStart"/>
      <w:r w:rsidR="00AD771D" w:rsidRPr="00AD771D">
        <w:t>!.</w:t>
      </w:r>
      <w:proofErr w:type="gramEnd"/>
      <w:r w:rsidR="00AD771D" w:rsidRPr="00AD771D">
        <w:t> </w:t>
      </w:r>
      <w:r w:rsidR="00AD771D" w:rsidRPr="00AD771D">
        <w:rPr>
          <w:i/>
        </w:rPr>
        <w:t>School Library Journal</w:t>
      </w:r>
      <w:r w:rsidR="00AD771D" w:rsidRPr="00AD771D">
        <w:t>, </w:t>
      </w:r>
      <w:r w:rsidR="00AD771D" w:rsidRPr="00AD771D">
        <w:rPr>
          <w:i/>
        </w:rPr>
        <w:t>58</w:t>
      </w:r>
      <w:r w:rsidR="00AD771D" w:rsidRPr="00AD771D">
        <w:t xml:space="preserve">(4), </w:t>
      </w:r>
      <w:proofErr w:type="gramStart"/>
      <w:r w:rsidR="00AD771D" w:rsidRPr="00AD771D">
        <w:t>26</w:t>
      </w:r>
      <w:proofErr w:type="gramEnd"/>
      <w:r w:rsidR="00AD771D" w:rsidRPr="00AD771D">
        <w:t>-30.</w:t>
      </w:r>
      <w:r w:rsidR="00186ABF">
        <w:t xml:space="preserve"> Retrieved from Academic Search Premier.</w:t>
      </w:r>
    </w:p>
    <w:p w:rsidR="00593AFE" w:rsidRPr="00593AFE" w:rsidRDefault="00AD771D" w:rsidP="001A22DF">
      <w:pPr>
        <w:spacing w:before="120"/>
      </w:pPr>
      <w:r w:rsidRPr="00AD771D">
        <w:rPr>
          <w:u w:val="single"/>
        </w:rPr>
        <w:t>Main Idea:</w:t>
      </w:r>
      <w:r>
        <w:t xml:space="preserve"> Librarians were not asked to “sit at the table” when the Common Core was developed, but are the best-equipped experts to help teachers help students meet the standards. The AASL taking on the development of the Common Core Crosswalk has helped librarians see exactly how they can best become leaders and teammates in the Common Core adaptation.</w:t>
      </w:r>
    </w:p>
    <w:p w:rsidR="00AD771D" w:rsidRPr="00AD771D" w:rsidRDefault="00AD771D" w:rsidP="00AD771D">
      <w:pPr>
        <w:spacing w:before="120"/>
      </w:pPr>
      <w:r w:rsidRPr="00AD771D">
        <w:rPr>
          <w:u w:val="single"/>
        </w:rPr>
        <w:t>Findings:</w:t>
      </w:r>
      <w:r>
        <w:t xml:space="preserve"> Librarians must begin weeding and then finding new informational texts and databases that are engaging and aligned to their teacher’s curriculum. Hill goes on to </w:t>
      </w:r>
      <w:proofErr w:type="gramStart"/>
      <w:r>
        <w:t>say,</w:t>
      </w:r>
      <w:proofErr w:type="gramEnd"/>
      <w:r>
        <w:t xml:space="preserve"> “</w:t>
      </w:r>
      <w:r w:rsidRPr="00AD771D">
        <w:t>Still, it's one thing for librarians to introduce students and staff to quality nonfiction texts (a task well within their comfort zones) but another to bridge the gap between inquiry and reading comprehension--an underlying objective of Common Core.</w:t>
      </w:r>
      <w:r>
        <w:t>” The article concludes with the powerful statement, “</w:t>
      </w:r>
      <w:r w:rsidRPr="00AD771D">
        <w:t>the new standards need school librarians just as much as we need them</w:t>
      </w:r>
      <w:r>
        <w:t>.”</w:t>
      </w:r>
    </w:p>
    <w:p w:rsidR="00A47479" w:rsidRPr="00A47479" w:rsidRDefault="002A3F54" w:rsidP="00A47479">
      <w:pPr>
        <w:spacing w:before="240"/>
        <w:ind w:left="720" w:hanging="720"/>
      </w:pPr>
      <w:r>
        <w:t xml:space="preserve">4. </w:t>
      </w:r>
      <w:r w:rsidR="00A47479" w:rsidRPr="00A47479">
        <w:t>W</w:t>
      </w:r>
      <w:r w:rsidR="00A47479">
        <w:t>hite, B. (2011). Toward a learning commons: My journey</w:t>
      </w:r>
      <w:proofErr w:type="gramStart"/>
      <w:r w:rsidR="00A47479">
        <w:t>;</w:t>
      </w:r>
      <w:proofErr w:type="gramEnd"/>
      <w:r w:rsidR="00A47479">
        <w:t xml:space="preserve"> your j</w:t>
      </w:r>
      <w:r w:rsidR="00A47479" w:rsidRPr="00A47479">
        <w:t>ourney. </w:t>
      </w:r>
      <w:proofErr w:type="gramStart"/>
      <w:r w:rsidR="00A47479" w:rsidRPr="00A47479">
        <w:rPr>
          <w:i/>
        </w:rPr>
        <w:t>Teacher Librarian</w:t>
      </w:r>
      <w:r w:rsidR="00A47479" w:rsidRPr="00A47479">
        <w:t>, </w:t>
      </w:r>
      <w:r w:rsidR="00A47479" w:rsidRPr="00A47479">
        <w:rPr>
          <w:i/>
        </w:rPr>
        <w:t>38</w:t>
      </w:r>
      <w:r w:rsidR="00A47479" w:rsidRPr="00A47479">
        <w:t>(3), 27-30.</w:t>
      </w:r>
      <w:proofErr w:type="gramEnd"/>
    </w:p>
    <w:p w:rsidR="00AD771D" w:rsidRPr="00A47479" w:rsidRDefault="00A47479" w:rsidP="00AD771D">
      <w:pPr>
        <w:spacing w:before="120"/>
        <w:rPr>
          <w:u w:val="single"/>
        </w:rPr>
      </w:pPr>
      <w:r w:rsidRPr="00A47479">
        <w:rPr>
          <w:u w:val="single"/>
        </w:rPr>
        <w:t>Main Idea:</w:t>
      </w:r>
      <w:r w:rsidRPr="00A47479">
        <w:t xml:space="preserve"> This article </w:t>
      </w:r>
      <w:r>
        <w:t>examines the benefits of transforming the traditional library into a “learning commons.” Not just exposing kids to technology like Web2.0 tools, but helping students use technology to learn, understand, and construct knowledge.</w:t>
      </w:r>
      <w:r w:rsidR="00842D81">
        <w:t xml:space="preserve"> White suggests that librarians use extra-curricular time for coaching kids on how to learn.</w:t>
      </w:r>
    </w:p>
    <w:p w:rsidR="00A47479" w:rsidRPr="00A47479" w:rsidRDefault="00A47479" w:rsidP="00A47479">
      <w:pPr>
        <w:spacing w:before="120"/>
      </w:pPr>
      <w:r w:rsidRPr="00A47479">
        <w:rPr>
          <w:u w:val="single"/>
        </w:rPr>
        <w:t>Findings:</w:t>
      </w:r>
      <w:r w:rsidRPr="00A47479">
        <w:t xml:space="preserve"> Moving to a learning commons style</w:t>
      </w:r>
      <w:r>
        <w:t xml:space="preserve"> is a cultural shift, a library will go “</w:t>
      </w:r>
      <w:r w:rsidRPr="00A47479">
        <w:t>from being a grocery store where you go to shop for the supplies to create a project to one of a well-equipped and stocked kitchen that allows you to prepare and cook any kind of dish</w:t>
      </w:r>
      <w:r>
        <w:t>.”</w:t>
      </w:r>
      <w:r w:rsidR="00842D81">
        <w:t xml:space="preserve"> White emphasizes that librarians need to be seen as curriculum leaders rather than someone you go to for supplies. And the biggest finding is that transforming into a learning commons is a journey, not a destination.</w:t>
      </w:r>
    </w:p>
    <w:p w:rsidR="00842D81" w:rsidRDefault="002A3F54" w:rsidP="00842D81">
      <w:pPr>
        <w:spacing w:before="240"/>
        <w:ind w:left="720" w:hanging="720"/>
      </w:pPr>
      <w:r>
        <w:t xml:space="preserve">5. </w:t>
      </w:r>
      <w:proofErr w:type="spellStart"/>
      <w:r w:rsidR="00842D81" w:rsidRPr="00842D81">
        <w:t>Loertscher</w:t>
      </w:r>
      <w:proofErr w:type="spellEnd"/>
      <w:r w:rsidR="00842D81" w:rsidRPr="00842D81">
        <w:t xml:space="preserve">, D. V. (2012). At the </w:t>
      </w:r>
      <w:r w:rsidR="00531957">
        <w:t>c</w:t>
      </w:r>
      <w:r w:rsidR="00842D81" w:rsidRPr="00842D81">
        <w:t xml:space="preserve">enter of </w:t>
      </w:r>
      <w:r w:rsidR="00531957">
        <w:t>t</w:t>
      </w:r>
      <w:r w:rsidR="00842D81" w:rsidRPr="00842D81">
        <w:t xml:space="preserve">eaching and </w:t>
      </w:r>
      <w:r w:rsidR="00531957">
        <w:t>l</w:t>
      </w:r>
      <w:r w:rsidR="00842D81" w:rsidRPr="00842D81">
        <w:t xml:space="preserve">earning, or </w:t>
      </w:r>
      <w:r w:rsidR="00531957">
        <w:t>i</w:t>
      </w:r>
      <w:r w:rsidR="00842D81" w:rsidRPr="00842D81">
        <w:t xml:space="preserve">solated </w:t>
      </w:r>
      <w:r w:rsidR="00531957">
        <w:t>a</w:t>
      </w:r>
      <w:r w:rsidR="00842D81" w:rsidRPr="00842D81">
        <w:t xml:space="preserve">gain, </w:t>
      </w:r>
      <w:r w:rsidR="00531957">
        <w:t>i</w:t>
      </w:r>
      <w:r w:rsidR="00842D81" w:rsidRPr="00842D81">
        <w:t xml:space="preserve">t's </w:t>
      </w:r>
      <w:r w:rsidR="00531957">
        <w:t>t</w:t>
      </w:r>
      <w:r w:rsidR="00842D81" w:rsidRPr="00842D81">
        <w:t xml:space="preserve">ime to </w:t>
      </w:r>
      <w:r w:rsidR="00531957">
        <w:t>d</w:t>
      </w:r>
      <w:r w:rsidR="00842D81" w:rsidRPr="00842D81">
        <w:t>ecide. </w:t>
      </w:r>
      <w:proofErr w:type="gramStart"/>
      <w:r w:rsidR="00842D81" w:rsidRPr="00842D81">
        <w:rPr>
          <w:i/>
        </w:rPr>
        <w:t>Teacher Librarian</w:t>
      </w:r>
      <w:r w:rsidR="00842D81" w:rsidRPr="00842D81">
        <w:t>, </w:t>
      </w:r>
      <w:r w:rsidR="00842D81" w:rsidRPr="00842D81">
        <w:rPr>
          <w:i/>
        </w:rPr>
        <w:t>39</w:t>
      </w:r>
      <w:r w:rsidR="00842D81" w:rsidRPr="00842D81">
        <w:t>(5), 57-58.</w:t>
      </w:r>
      <w:proofErr w:type="gramEnd"/>
      <w:r w:rsidR="00186ABF">
        <w:t xml:space="preserve"> Retrieved from Academic Search Premier.</w:t>
      </w:r>
    </w:p>
    <w:p w:rsidR="00531957" w:rsidRDefault="00842D81" w:rsidP="00531957">
      <w:pPr>
        <w:spacing w:before="120"/>
      </w:pPr>
      <w:r w:rsidRPr="00842D81">
        <w:rPr>
          <w:u w:val="single"/>
        </w:rPr>
        <w:t>Main Idea:</w:t>
      </w:r>
      <w:r w:rsidRPr="00531957">
        <w:t xml:space="preserve"> </w:t>
      </w:r>
      <w:r w:rsidR="00531957" w:rsidRPr="00531957">
        <w:t>this article examines the dangers of separating content learning from information literacy.</w:t>
      </w:r>
      <w:r w:rsidR="00531957">
        <w:t xml:space="preserve"> </w:t>
      </w:r>
      <w:proofErr w:type="spellStart"/>
      <w:r w:rsidR="00531957">
        <w:t>Loertscher</w:t>
      </w:r>
      <w:proofErr w:type="spellEnd"/>
      <w:r w:rsidR="00531957">
        <w:t xml:space="preserve"> “</w:t>
      </w:r>
      <w:r w:rsidR="00531957" w:rsidRPr="00531957">
        <w:t>posit</w:t>
      </w:r>
      <w:r w:rsidR="00531957">
        <w:t>[s]</w:t>
      </w:r>
      <w:r w:rsidR="00531957" w:rsidRPr="00531957">
        <w:t xml:space="preserve"> that the separation and isolation of content and learning how to learn not only has isolated teacher librarians but made them invisible in school culture. We posit that this has resulted in the notion that because of Google and the Internet, classroom teachers can easily take over the role of teaching information literacy--thus, saving the school a professional salary. That attitude seems to be rampant in any school district facing financial exigency.</w:t>
      </w:r>
      <w:r w:rsidR="00531957">
        <w:t xml:space="preserve">” </w:t>
      </w:r>
      <w:proofErr w:type="spellStart"/>
      <w:r w:rsidR="00531957">
        <w:t>Loertscer</w:t>
      </w:r>
      <w:proofErr w:type="spellEnd"/>
      <w:r w:rsidR="00531957">
        <w:t xml:space="preserve"> proposes that we need a major study on how well students achieve learning content when taught within the framework of learning “how to learn.”</w:t>
      </w:r>
    </w:p>
    <w:p w:rsidR="00531957" w:rsidRPr="00531957" w:rsidRDefault="00531957" w:rsidP="00531957">
      <w:pPr>
        <w:spacing w:before="120"/>
      </w:pPr>
      <w:r w:rsidRPr="00531957">
        <w:rPr>
          <w:u w:val="single"/>
        </w:rPr>
        <w:t>Findings:</w:t>
      </w:r>
      <w:r>
        <w:t xml:space="preserve"> This article links to a strategy for teaching information literacy and content concurrently in an engaging way, that does not take a great deal of instructional time away </w:t>
      </w:r>
      <w:r w:rsidR="00186ABF">
        <w:t>from the content teacher called</w:t>
      </w:r>
      <w:r>
        <w:t xml:space="preserve"> Knowledge Building Centers</w:t>
      </w:r>
      <w:r w:rsidR="00186ABF">
        <w:t xml:space="preserve"> and strategies on how to “flip” Bloom’s taxonomy so that student’s operate at the highest order of thinking first to create knowledge and then work down Bloom’s to understanding</w:t>
      </w:r>
      <w:r>
        <w:t>.</w:t>
      </w:r>
    </w:p>
    <w:p w:rsidR="00842D81" w:rsidRPr="00833A08" w:rsidRDefault="002A3F54" w:rsidP="00833A08">
      <w:pPr>
        <w:spacing w:before="240"/>
        <w:ind w:left="720" w:hanging="720"/>
      </w:pPr>
      <w:r>
        <w:t xml:space="preserve">6. </w:t>
      </w:r>
      <w:r w:rsidR="00186ABF" w:rsidRPr="00833A08">
        <w:t>Wright</w:t>
      </w:r>
      <w:r w:rsidR="00833A08">
        <w:t>, S. (</w:t>
      </w:r>
      <w:r w:rsidR="00186ABF" w:rsidRPr="00833A08">
        <w:t>2012</w:t>
      </w:r>
      <w:r w:rsidR="00833A08">
        <w:t xml:space="preserve">). Flipping Bloom’s taxonomy. </w:t>
      </w:r>
      <w:r w:rsidR="00186ABF" w:rsidRPr="00833A08">
        <w:rPr>
          <w:i/>
        </w:rPr>
        <w:t>Less Teacher, More Student, Passion Based Learning, The How of 21st Century Teaching, Voices</w:t>
      </w:r>
      <w:r w:rsidR="00833A08">
        <w:rPr>
          <w:i/>
        </w:rPr>
        <w:t xml:space="preserve">. </w:t>
      </w:r>
      <w:r w:rsidR="00833A08">
        <w:t xml:space="preserve">Retrieved from </w:t>
      </w:r>
      <w:r w:rsidR="00833A08" w:rsidRPr="00833A08">
        <w:t>http://plpnetwork.com/2012/05/15/flipping-blooms-taxonomy/</w:t>
      </w:r>
      <w:r w:rsidR="00833A08">
        <w:t>.</w:t>
      </w:r>
    </w:p>
    <w:p w:rsidR="00593AFE" w:rsidRPr="00833A08" w:rsidRDefault="00833A08" w:rsidP="00593AFE">
      <w:pPr>
        <w:spacing w:before="120"/>
      </w:pPr>
      <w:r>
        <w:rPr>
          <w:u w:val="single"/>
        </w:rPr>
        <w:t>Main Idea:</w:t>
      </w:r>
      <w:r>
        <w:t xml:space="preserve"> T</w:t>
      </w:r>
      <w:r w:rsidRPr="00833A08">
        <w:t>hi</w:t>
      </w:r>
      <w:r>
        <w:t xml:space="preserve">s is a </w:t>
      </w:r>
      <w:r w:rsidR="00DB1462">
        <w:t>blog;</w:t>
      </w:r>
      <w:r>
        <w:t xml:space="preserve"> however, it has been peer-reviewed in the sense that David </w:t>
      </w:r>
      <w:proofErr w:type="spellStart"/>
      <w:r>
        <w:t>Loertscher</w:t>
      </w:r>
      <w:proofErr w:type="spellEnd"/>
      <w:r>
        <w:t xml:space="preserve"> refers to </w:t>
      </w:r>
      <w:r w:rsidR="00DB1462">
        <w:t>Shelley Wright’s</w:t>
      </w:r>
      <w:r>
        <w:t xml:space="preserve"> theory in the article above. Wright proposes that we flip Bloom’s Taxonomy by having students play, create, and question in order to lead them into evaluation, analysis, application, understanding, and remembering.</w:t>
      </w:r>
    </w:p>
    <w:p w:rsidR="00833A08" w:rsidRDefault="00833A08" w:rsidP="00BF1580">
      <w:pPr>
        <w:ind w:left="720" w:hanging="720"/>
      </w:pPr>
    </w:p>
    <w:p w:rsidR="008716E9" w:rsidRDefault="00833A08" w:rsidP="00833A08">
      <w:r w:rsidRPr="00833A08">
        <w:rPr>
          <w:u w:val="single"/>
        </w:rPr>
        <w:t>Findings:</w:t>
      </w:r>
      <w:r>
        <w:t xml:space="preserve"> Wright gives three scenarios of student’s going through this flipped process, “</w:t>
      </w:r>
      <w:r w:rsidRPr="00833A08">
        <w:t>We </w:t>
      </w:r>
      <w:r w:rsidRPr="00833A08">
        <w:rPr>
          <w:i/>
          <w:iCs/>
        </w:rPr>
        <w:t>started</w:t>
      </w:r>
      <w:r w:rsidRPr="00833A08">
        <w:t> with creativity and </w:t>
      </w:r>
      <w:r w:rsidRPr="00833A08">
        <w:rPr>
          <w:i/>
          <w:iCs/>
        </w:rPr>
        <w:t>ended</w:t>
      </w:r>
      <w:r w:rsidRPr="00833A08">
        <w:t xml:space="preserve"> with the knowledge my students have </w:t>
      </w:r>
      <w:proofErr w:type="spellStart"/>
      <w:r w:rsidRPr="00833A08">
        <w:t>curated</w:t>
      </w:r>
      <w:proofErr w:type="spellEnd"/>
      <w:r w:rsidRPr="00833A08">
        <w:t>. They’ve been engaged with the entire process from start to finish, and my students have make some significant decisions about the essential knowledge they need.</w:t>
      </w:r>
      <w:r>
        <w:t>” I think this is an intriguing theory, and I’d like to find a way to research how it would work with my students.</w:t>
      </w:r>
    </w:p>
    <w:p w:rsidR="00833A08" w:rsidRPr="00DB1462" w:rsidRDefault="002A3F54" w:rsidP="00DB1462">
      <w:pPr>
        <w:spacing w:before="240"/>
        <w:ind w:left="720" w:hanging="720"/>
      </w:pPr>
      <w:r>
        <w:t xml:space="preserve">7. </w:t>
      </w:r>
      <w:r w:rsidR="008716E9">
        <w:t xml:space="preserve">Kirkland, A. B. (2012). Inquiry </w:t>
      </w:r>
      <w:proofErr w:type="spellStart"/>
      <w:r w:rsidR="008716E9">
        <w:t>unte</w:t>
      </w:r>
      <w:r w:rsidR="00DB1462">
        <w:t>thered</w:t>
      </w:r>
      <w:proofErr w:type="spellEnd"/>
      <w:r w:rsidR="00DB1462">
        <w:t xml:space="preserve">. </w:t>
      </w:r>
      <w:r w:rsidR="00DB1462" w:rsidRPr="00DB1462">
        <w:rPr>
          <w:i/>
        </w:rPr>
        <w:t>By the Brooks: Advocate for School Libraries</w:t>
      </w:r>
      <w:r w:rsidR="00DB1462">
        <w:rPr>
          <w:i/>
        </w:rPr>
        <w:t xml:space="preserve">. </w:t>
      </w:r>
      <w:r w:rsidR="00DB1462">
        <w:t xml:space="preserve">Retrieved from </w:t>
      </w:r>
      <w:r w:rsidR="00DB1462" w:rsidRPr="00DB1462">
        <w:t>http://www.bythebrooks.ca/inquiry-untethered/</w:t>
      </w:r>
      <w:r w:rsidR="00B827EB">
        <w:t>.</w:t>
      </w:r>
    </w:p>
    <w:p w:rsidR="00DB1462" w:rsidRDefault="00DB1462" w:rsidP="00DB1462">
      <w:pPr>
        <w:spacing w:before="120"/>
      </w:pPr>
      <w:r w:rsidRPr="00DB1462">
        <w:rPr>
          <w:u w:val="single"/>
        </w:rPr>
        <w:t>Main Idea:</w:t>
      </w:r>
      <w:r>
        <w:t xml:space="preserve"> Again, this is a blog and is in no sense a peer-reviewed article. However, it is an idea based off the strategies mentioned by David </w:t>
      </w:r>
      <w:proofErr w:type="spellStart"/>
      <w:r>
        <w:t>Loertscher</w:t>
      </w:r>
      <w:proofErr w:type="spellEnd"/>
      <w:r>
        <w:t xml:space="preserve"> in his multiple articles on learning commons. I include it here because it may be the strategy I would like to assess in my research to see if it increases student achievement. The idea is that Knowledge Building Centers are structures around which a student creates knowledge through research: exploring, investigating, processing, and creating.</w:t>
      </w:r>
    </w:p>
    <w:p w:rsidR="00DB1462" w:rsidRPr="00DB1462" w:rsidRDefault="00DB1462" w:rsidP="00DB1462">
      <w:pPr>
        <w:spacing w:before="120"/>
        <w:rPr>
          <w:u w:val="single"/>
        </w:rPr>
      </w:pPr>
      <w:r w:rsidRPr="00DB1462">
        <w:rPr>
          <w:u w:val="single"/>
        </w:rPr>
        <w:t>Findings:</w:t>
      </w:r>
      <w:r w:rsidRPr="00DB1462">
        <w:t xml:space="preserve"> </w:t>
      </w:r>
      <w:r>
        <w:t>Using a Knowledge Building Center template made it easy for the authors to replicate for different projects without too much project set-up time. A benefit noticed was that, “</w:t>
      </w:r>
      <w:r w:rsidRPr="00DB1462">
        <w:t xml:space="preserve">Revisiting our guiding question helps to put learning in context, identify and discuss the process and results of learning – </w:t>
      </w:r>
      <w:proofErr w:type="spellStart"/>
      <w:r w:rsidRPr="00DB1462">
        <w:t>metacognition</w:t>
      </w:r>
      <w:proofErr w:type="spellEnd"/>
      <w:r w:rsidRPr="00DB1462">
        <w:t xml:space="preserve"> – and transfer that self-knowledge to new learning situations.</w:t>
      </w:r>
      <w:r>
        <w:t>”</w:t>
      </w:r>
    </w:p>
    <w:p w:rsidR="00B827EB" w:rsidRDefault="002A3F54" w:rsidP="00B827EB">
      <w:pPr>
        <w:spacing w:before="240"/>
        <w:ind w:left="720" w:hanging="720"/>
      </w:pPr>
      <w:r>
        <w:br w:type="page"/>
        <w:t xml:space="preserve">8. </w:t>
      </w:r>
      <w:proofErr w:type="spellStart"/>
      <w:r w:rsidR="00B827EB" w:rsidRPr="00B827EB">
        <w:t>Koechlin</w:t>
      </w:r>
      <w:proofErr w:type="spellEnd"/>
      <w:r w:rsidR="00B827EB" w:rsidRPr="00B827EB">
        <w:t xml:space="preserve">, C., </w:t>
      </w:r>
      <w:proofErr w:type="spellStart"/>
      <w:r w:rsidR="00B827EB" w:rsidRPr="00B827EB">
        <w:t>Zwaan</w:t>
      </w:r>
      <w:proofErr w:type="spellEnd"/>
      <w:r w:rsidR="00B827EB" w:rsidRPr="00B827EB">
        <w:t xml:space="preserve">, S., &amp; </w:t>
      </w:r>
      <w:proofErr w:type="spellStart"/>
      <w:r w:rsidR="00B827EB" w:rsidRPr="00B827EB">
        <w:t>Loertscher</w:t>
      </w:r>
      <w:proofErr w:type="spellEnd"/>
      <w:r w:rsidR="00B827EB" w:rsidRPr="00B827EB">
        <w:t>, D. V. (2008). The time is now: transform your school library into a learning commons. </w:t>
      </w:r>
      <w:proofErr w:type="gramStart"/>
      <w:r w:rsidR="00B827EB" w:rsidRPr="00B827EB">
        <w:rPr>
          <w:i/>
        </w:rPr>
        <w:t>Teacher Librarian</w:t>
      </w:r>
      <w:r w:rsidR="00B827EB" w:rsidRPr="00B827EB">
        <w:t>, </w:t>
      </w:r>
      <w:r w:rsidR="00B827EB" w:rsidRPr="00B827EB">
        <w:rPr>
          <w:i/>
        </w:rPr>
        <w:t>36</w:t>
      </w:r>
      <w:r w:rsidR="00B827EB" w:rsidRPr="00B827EB">
        <w:t>(1), 8-14.</w:t>
      </w:r>
      <w:proofErr w:type="gramEnd"/>
      <w:r w:rsidR="00B827EB" w:rsidRPr="00B827EB">
        <w:t xml:space="preserve"> Retrieved from Academic Search Premier.</w:t>
      </w:r>
    </w:p>
    <w:p w:rsidR="00B827EB" w:rsidRPr="00B827EB" w:rsidRDefault="00B827EB" w:rsidP="00B827EB">
      <w:pPr>
        <w:spacing w:before="240"/>
      </w:pPr>
      <w:r w:rsidRPr="00B827EB">
        <w:rPr>
          <w:u w:val="single"/>
        </w:rPr>
        <w:t>Main Idea:</w:t>
      </w:r>
      <w:r>
        <w:t xml:space="preserve"> This article defines the learning commons as “</w:t>
      </w:r>
      <w:r w:rsidRPr="00B827EB">
        <w:t xml:space="preserve">the showcase for high-quality teaching and learning-a place to develop and demonstrate exemplary educational practices. It will serve as the professional development center </w:t>
      </w:r>
      <w:proofErr w:type="gramStart"/>
      <w:r w:rsidRPr="00B827EB">
        <w:t>For</w:t>
      </w:r>
      <w:proofErr w:type="gramEnd"/>
      <w:r w:rsidRPr="00B827EB">
        <w:t xml:space="preserve"> the entire school-a place to learn, experiment with, assess, and then widely adopt improved instructional programs. It is the keystone of literacy and technological programs of the school and the place where classroom teachers can collaboratively design, build, implement, and assess knowledge-building learning activities.</w:t>
      </w:r>
      <w:r>
        <w:t>” Written before the existence of the Common Core, it is useful to read of how this theory evolved and will align with the Common Core. Knowledge building, collaboration, and technology are the keystones of the learning commons.</w:t>
      </w:r>
    </w:p>
    <w:p w:rsidR="002A3F54" w:rsidRDefault="002A3F54" w:rsidP="002A3F54">
      <w:pPr>
        <w:spacing w:before="240"/>
      </w:pPr>
      <w:r w:rsidRPr="002A3F54">
        <w:rPr>
          <w:u w:val="single"/>
        </w:rPr>
        <w:t>Findings:</w:t>
      </w:r>
      <w:r w:rsidRPr="002A3F54">
        <w:t xml:space="preserve"> The idea is to make the library the hub of the school, rather than a quiet add-on that can be dismissed (or no longer funded). It encourages teacher collaboration </w:t>
      </w:r>
      <w:r>
        <w:t>by building</w:t>
      </w:r>
      <w:r w:rsidRPr="002A3F54">
        <w:t xml:space="preserve"> “a place where they do not feel they are alone in the challenge of elevating every learner toward excellence; a place to be part of a teaching and learning team that merges classroom teachers and specialists in a mutual quest</w:t>
      </w:r>
      <w:r>
        <w:t>…</w:t>
      </w:r>
      <w:r w:rsidRPr="002A3F54">
        <w:t>Reinvent your school library and computer labs; listen to your clients; build learning partnership teams; infuse the best</w:t>
      </w:r>
      <w:r>
        <w:t xml:space="preserve"> teaching science.”</w:t>
      </w:r>
    </w:p>
    <w:p w:rsidR="00252043" w:rsidRDefault="00ED2322" w:rsidP="00252043">
      <w:pPr>
        <w:spacing w:before="240"/>
        <w:ind w:left="720" w:hanging="720"/>
        <w:rPr>
          <w:i/>
        </w:rPr>
      </w:pPr>
      <w:r>
        <w:t xml:space="preserve">9. </w:t>
      </w:r>
      <w:proofErr w:type="gramStart"/>
      <w:r w:rsidR="00252043" w:rsidRPr="00252043">
        <w:t>Lance</w:t>
      </w:r>
      <w:proofErr w:type="gramEnd"/>
      <w:r w:rsidR="00252043" w:rsidRPr="00252043">
        <w:t xml:space="preserve">, K., &amp; </w:t>
      </w:r>
      <w:proofErr w:type="spellStart"/>
      <w:r w:rsidR="00252043" w:rsidRPr="00252043">
        <w:t>Hofschire</w:t>
      </w:r>
      <w:proofErr w:type="spellEnd"/>
      <w:r w:rsidR="00252043" w:rsidRPr="00252043">
        <w:t xml:space="preserve">, L. (2012). </w:t>
      </w:r>
      <w:r w:rsidR="00252043" w:rsidRPr="00252043">
        <w:rPr>
          <w:i/>
          <w:iCs/>
        </w:rPr>
        <w:t>Change in School Librarian Staffing Linked with Change in CSAP Reading Performance, 2005 to 2011</w:t>
      </w:r>
      <w:r w:rsidR="00252043" w:rsidRPr="00252043">
        <w:t>. Denver, CO: Colorado State Library, Library Research Service.</w:t>
      </w:r>
      <w:r w:rsidR="00252043">
        <w:t xml:space="preserve"> Retrieved from </w:t>
      </w:r>
      <w:hyperlink r:id="rId4" w:history="1">
        <w:r w:rsidR="00252043" w:rsidRPr="00363688">
          <w:rPr>
            <w:rStyle w:val="Hyperlink"/>
          </w:rPr>
          <w:t>http://www.lrs.org/documents/closer_look/CO4_2012_Closer_Look_Report.pdf</w:t>
        </w:r>
      </w:hyperlink>
      <w:r w:rsidR="002A3F54" w:rsidRPr="002A3F54">
        <w:rPr>
          <w:i/>
        </w:rPr>
        <w:t>.</w:t>
      </w:r>
      <w:r w:rsidR="002A3F54">
        <w:rPr>
          <w:i/>
        </w:rPr>
        <w:t xml:space="preserve"> </w:t>
      </w:r>
    </w:p>
    <w:p w:rsidR="00252043" w:rsidRDefault="00252043" w:rsidP="00252043">
      <w:pPr>
        <w:spacing w:before="120"/>
      </w:pPr>
      <w:r w:rsidRPr="00252043">
        <w:rPr>
          <w:u w:val="single"/>
        </w:rPr>
        <w:t>Main Idea:</w:t>
      </w:r>
      <w:r w:rsidRPr="00252043">
        <w:t xml:space="preserve"> Cited</w:t>
      </w:r>
      <w:r>
        <w:t xml:space="preserve"> in more than one of the articles above, this study examined any impact on test scores in Colorado schools with librarians, without librarians, and those that had started with librarians in 2005, but had lost them by 2011.</w:t>
      </w:r>
    </w:p>
    <w:p w:rsidR="002A3F54" w:rsidRPr="00252043" w:rsidRDefault="00252043" w:rsidP="00252043">
      <w:pPr>
        <w:spacing w:before="120"/>
        <w:rPr>
          <w:u w:val="single"/>
        </w:rPr>
      </w:pPr>
      <w:r w:rsidRPr="00252043">
        <w:rPr>
          <w:u w:val="single"/>
        </w:rPr>
        <w:t>Findings:</w:t>
      </w:r>
      <w:r>
        <w:t xml:space="preserve">  </w:t>
      </w:r>
      <w:r w:rsidRPr="00252043">
        <w:t>At schools with librarians, 45 percent of students increase</w:t>
      </w:r>
      <w:r>
        <w:t>d</w:t>
      </w:r>
      <w:r w:rsidRPr="00252043">
        <w:t xml:space="preserve"> test scores, </w:t>
      </w:r>
      <w:r>
        <w:t>at schools without librarians only</w:t>
      </w:r>
      <w:r w:rsidRPr="00252043">
        <w:t xml:space="preserve"> 29 percent of students increase</w:t>
      </w:r>
      <w:r>
        <w:t>d</w:t>
      </w:r>
      <w:r w:rsidRPr="00252043">
        <w:t xml:space="preserve"> test scores</w:t>
      </w:r>
      <w:r>
        <w:t>. Even with “</w:t>
      </w:r>
      <w:r w:rsidR="00ED2322">
        <w:t xml:space="preserve">poverty utilized as a control variable” scores increased. This data definitely shows there exists a positive impact of librarians on student achievement; action </w:t>
      </w:r>
      <w:proofErr w:type="gramStart"/>
      <w:r w:rsidR="00ED2322">
        <w:t>research</w:t>
      </w:r>
      <w:proofErr w:type="gramEnd"/>
      <w:r w:rsidR="00ED2322">
        <w:t xml:space="preserve"> projects can help show why there is such an impact on student achievement.</w:t>
      </w:r>
    </w:p>
    <w:p w:rsidR="00B827EB" w:rsidRPr="002A3F54" w:rsidRDefault="00B827EB" w:rsidP="00B827EB">
      <w:pPr>
        <w:spacing w:before="240"/>
        <w:ind w:left="720" w:hanging="720"/>
        <w:rPr>
          <w:u w:val="single"/>
        </w:rPr>
      </w:pPr>
    </w:p>
    <w:p w:rsidR="008716E9" w:rsidRPr="00DB1462" w:rsidRDefault="008716E9" w:rsidP="00DB1462">
      <w:pPr>
        <w:spacing w:before="120"/>
        <w:rPr>
          <w:u w:val="single"/>
        </w:rPr>
      </w:pPr>
    </w:p>
    <w:p w:rsidR="00593AFE" w:rsidRDefault="00593AFE" w:rsidP="00BF1580">
      <w:pPr>
        <w:ind w:left="720" w:hanging="720"/>
      </w:pPr>
    </w:p>
    <w:p w:rsidR="00EA77D1" w:rsidRPr="00EA77D1" w:rsidRDefault="00EA77D1" w:rsidP="00EA77D1"/>
    <w:p w:rsidR="0003185B" w:rsidRDefault="0003185B">
      <w:pPr>
        <w:rPr>
          <w:b/>
        </w:rPr>
      </w:pPr>
    </w:p>
    <w:p w:rsidR="0003185B" w:rsidRDefault="00ED2322">
      <w:pPr>
        <w:rPr>
          <w:b/>
        </w:rPr>
      </w:pPr>
      <w:r>
        <w:rPr>
          <w:b/>
        </w:rPr>
        <w:br w:type="page"/>
      </w:r>
      <w:r w:rsidR="0003185B">
        <w:rPr>
          <w:b/>
        </w:rPr>
        <w:t>Graphic Organizer</w:t>
      </w:r>
    </w:p>
    <w:p w:rsidR="0003185B" w:rsidRDefault="0003185B">
      <w:pPr>
        <w:rPr>
          <w:b/>
        </w:rPr>
      </w:pPr>
    </w:p>
    <w:tbl>
      <w:tblPr>
        <w:tblStyle w:val="TableGrid"/>
        <w:tblW w:w="0" w:type="auto"/>
        <w:tblLook w:val="00BF"/>
      </w:tblPr>
      <w:tblGrid>
        <w:gridCol w:w="1246"/>
        <w:gridCol w:w="1547"/>
        <w:gridCol w:w="725"/>
        <w:gridCol w:w="1189"/>
        <w:gridCol w:w="1173"/>
        <w:gridCol w:w="1345"/>
        <w:gridCol w:w="1183"/>
        <w:gridCol w:w="1168"/>
      </w:tblGrid>
      <w:tr w:rsidR="00593AFE" w:rsidTr="00ED2322">
        <w:tc>
          <w:tcPr>
            <w:tcW w:w="1246" w:type="dxa"/>
            <w:vAlign w:val="center"/>
          </w:tcPr>
          <w:p w:rsidR="0003185B" w:rsidRPr="00BF1580" w:rsidRDefault="0003185B" w:rsidP="00BF1580">
            <w:pPr>
              <w:jc w:val="center"/>
              <w:rPr>
                <w:rFonts w:asciiTheme="majorHAnsi" w:hAnsiTheme="majorHAnsi"/>
                <w:b/>
                <w:sz w:val="20"/>
              </w:rPr>
            </w:pPr>
            <w:r w:rsidRPr="00BF1580">
              <w:rPr>
                <w:rFonts w:asciiTheme="majorHAnsi" w:hAnsiTheme="majorHAnsi"/>
                <w:b/>
                <w:sz w:val="20"/>
              </w:rPr>
              <w:t>Author</w:t>
            </w:r>
          </w:p>
        </w:tc>
        <w:tc>
          <w:tcPr>
            <w:tcW w:w="1547" w:type="dxa"/>
            <w:vAlign w:val="center"/>
          </w:tcPr>
          <w:p w:rsidR="0003185B" w:rsidRPr="00BF1580" w:rsidRDefault="0003185B" w:rsidP="00BF1580">
            <w:pPr>
              <w:jc w:val="center"/>
              <w:rPr>
                <w:rFonts w:asciiTheme="majorHAnsi" w:hAnsiTheme="majorHAnsi"/>
                <w:b/>
                <w:sz w:val="20"/>
              </w:rPr>
            </w:pPr>
            <w:r w:rsidRPr="00BF1580">
              <w:rPr>
                <w:rFonts w:asciiTheme="majorHAnsi" w:hAnsiTheme="majorHAnsi"/>
                <w:b/>
                <w:sz w:val="20"/>
              </w:rPr>
              <w:t>Title</w:t>
            </w:r>
          </w:p>
        </w:tc>
        <w:tc>
          <w:tcPr>
            <w:tcW w:w="725" w:type="dxa"/>
            <w:vAlign w:val="center"/>
          </w:tcPr>
          <w:p w:rsidR="0003185B" w:rsidRPr="00BF1580" w:rsidRDefault="0003185B" w:rsidP="00BF1580">
            <w:pPr>
              <w:jc w:val="center"/>
              <w:rPr>
                <w:rFonts w:asciiTheme="majorHAnsi" w:hAnsiTheme="majorHAnsi"/>
                <w:b/>
                <w:sz w:val="20"/>
              </w:rPr>
            </w:pPr>
            <w:r w:rsidRPr="00BF1580">
              <w:rPr>
                <w:rFonts w:asciiTheme="majorHAnsi" w:hAnsiTheme="majorHAnsi"/>
                <w:b/>
                <w:sz w:val="20"/>
              </w:rPr>
              <w:t>Year</w:t>
            </w:r>
          </w:p>
        </w:tc>
        <w:tc>
          <w:tcPr>
            <w:tcW w:w="1189" w:type="dxa"/>
            <w:vAlign w:val="center"/>
          </w:tcPr>
          <w:p w:rsidR="00BF1580" w:rsidRPr="00BF1580" w:rsidRDefault="00BF1580" w:rsidP="00BF1580">
            <w:pPr>
              <w:jc w:val="center"/>
              <w:rPr>
                <w:rFonts w:asciiTheme="majorHAnsi" w:hAnsiTheme="majorHAnsi"/>
                <w:b/>
                <w:sz w:val="20"/>
              </w:rPr>
            </w:pPr>
            <w:r w:rsidRPr="00BF1580">
              <w:rPr>
                <w:rFonts w:asciiTheme="majorHAnsi" w:hAnsiTheme="majorHAnsi"/>
                <w:b/>
                <w:sz w:val="20"/>
              </w:rPr>
              <w:t>Leadership</w:t>
            </w:r>
          </w:p>
          <w:p w:rsidR="00BF1580" w:rsidRPr="00BF1580" w:rsidRDefault="00BF1580" w:rsidP="00BF1580">
            <w:pPr>
              <w:jc w:val="center"/>
              <w:rPr>
                <w:rFonts w:asciiTheme="majorHAnsi" w:hAnsiTheme="majorHAnsi"/>
                <w:b/>
                <w:sz w:val="20"/>
              </w:rPr>
            </w:pPr>
            <w:r w:rsidRPr="00BF1580">
              <w:rPr>
                <w:rFonts w:asciiTheme="majorHAnsi" w:hAnsiTheme="majorHAnsi"/>
                <w:b/>
                <w:sz w:val="20"/>
              </w:rPr>
              <w:t>Roles of</w:t>
            </w:r>
          </w:p>
          <w:p w:rsidR="0003185B" w:rsidRPr="00BF1580" w:rsidRDefault="00BF1580" w:rsidP="00BF1580">
            <w:pPr>
              <w:jc w:val="center"/>
              <w:rPr>
                <w:rFonts w:asciiTheme="majorHAnsi" w:hAnsiTheme="majorHAnsi"/>
                <w:b/>
                <w:sz w:val="20"/>
              </w:rPr>
            </w:pPr>
            <w:r w:rsidRPr="00BF1580">
              <w:rPr>
                <w:rFonts w:asciiTheme="majorHAnsi" w:hAnsiTheme="majorHAnsi"/>
                <w:b/>
                <w:sz w:val="20"/>
              </w:rPr>
              <w:t>Librarians</w:t>
            </w:r>
          </w:p>
        </w:tc>
        <w:tc>
          <w:tcPr>
            <w:tcW w:w="1173" w:type="dxa"/>
            <w:vAlign w:val="center"/>
          </w:tcPr>
          <w:p w:rsidR="00BF1580" w:rsidRPr="00BF1580" w:rsidRDefault="00BF1580" w:rsidP="00BF1580">
            <w:pPr>
              <w:jc w:val="center"/>
              <w:rPr>
                <w:rFonts w:asciiTheme="majorHAnsi" w:hAnsiTheme="majorHAnsi"/>
                <w:b/>
                <w:sz w:val="20"/>
              </w:rPr>
            </w:pPr>
            <w:r w:rsidRPr="00BF1580">
              <w:rPr>
                <w:rFonts w:asciiTheme="majorHAnsi" w:hAnsiTheme="majorHAnsi"/>
                <w:b/>
                <w:sz w:val="20"/>
              </w:rPr>
              <w:t>Common</w:t>
            </w:r>
          </w:p>
          <w:p w:rsidR="0003185B" w:rsidRPr="00BF1580" w:rsidRDefault="00BF1580" w:rsidP="00BF1580">
            <w:pPr>
              <w:jc w:val="center"/>
              <w:rPr>
                <w:rFonts w:asciiTheme="majorHAnsi" w:hAnsiTheme="majorHAnsi"/>
                <w:b/>
                <w:sz w:val="20"/>
              </w:rPr>
            </w:pPr>
            <w:r w:rsidRPr="00BF1580">
              <w:rPr>
                <w:rFonts w:asciiTheme="majorHAnsi" w:hAnsiTheme="majorHAnsi"/>
                <w:b/>
                <w:sz w:val="20"/>
              </w:rPr>
              <w:t>Core</w:t>
            </w:r>
          </w:p>
        </w:tc>
        <w:tc>
          <w:tcPr>
            <w:tcW w:w="1345" w:type="dxa"/>
            <w:vAlign w:val="center"/>
          </w:tcPr>
          <w:p w:rsidR="00593AFE" w:rsidRDefault="00593AFE" w:rsidP="00BF1580">
            <w:pPr>
              <w:jc w:val="center"/>
              <w:rPr>
                <w:rFonts w:asciiTheme="majorHAnsi" w:hAnsiTheme="majorHAnsi"/>
                <w:b/>
                <w:sz w:val="20"/>
              </w:rPr>
            </w:pPr>
            <w:r>
              <w:rPr>
                <w:rFonts w:asciiTheme="majorHAnsi" w:hAnsiTheme="majorHAnsi"/>
                <w:b/>
                <w:sz w:val="20"/>
              </w:rPr>
              <w:t>Librarian</w:t>
            </w:r>
          </w:p>
          <w:p w:rsidR="0003185B" w:rsidRPr="00BF1580" w:rsidRDefault="00BF1580" w:rsidP="00BF1580">
            <w:pPr>
              <w:jc w:val="center"/>
              <w:rPr>
                <w:rFonts w:asciiTheme="majorHAnsi" w:hAnsiTheme="majorHAnsi"/>
                <w:b/>
                <w:sz w:val="20"/>
              </w:rPr>
            </w:pPr>
            <w:r>
              <w:rPr>
                <w:rFonts w:asciiTheme="majorHAnsi" w:hAnsiTheme="majorHAnsi"/>
                <w:b/>
                <w:sz w:val="20"/>
              </w:rPr>
              <w:t>Collaboration</w:t>
            </w:r>
          </w:p>
        </w:tc>
        <w:tc>
          <w:tcPr>
            <w:tcW w:w="1183" w:type="dxa"/>
            <w:vAlign w:val="center"/>
          </w:tcPr>
          <w:p w:rsidR="00593AFE" w:rsidRDefault="00593AFE" w:rsidP="00BF1580">
            <w:pPr>
              <w:jc w:val="center"/>
              <w:rPr>
                <w:rFonts w:asciiTheme="majorHAnsi" w:hAnsiTheme="majorHAnsi"/>
                <w:b/>
                <w:sz w:val="20"/>
              </w:rPr>
            </w:pPr>
            <w:r>
              <w:rPr>
                <w:rFonts w:asciiTheme="majorHAnsi" w:hAnsiTheme="majorHAnsi"/>
                <w:b/>
                <w:sz w:val="20"/>
              </w:rPr>
              <w:t>Librarian</w:t>
            </w:r>
          </w:p>
          <w:p w:rsidR="0003185B" w:rsidRPr="00BF1580" w:rsidRDefault="00593AFE" w:rsidP="00BF1580">
            <w:pPr>
              <w:jc w:val="center"/>
              <w:rPr>
                <w:rFonts w:asciiTheme="majorHAnsi" w:hAnsiTheme="majorHAnsi"/>
                <w:b/>
                <w:sz w:val="20"/>
              </w:rPr>
            </w:pPr>
            <w:r>
              <w:rPr>
                <w:rFonts w:asciiTheme="majorHAnsi" w:hAnsiTheme="majorHAnsi"/>
                <w:b/>
                <w:sz w:val="20"/>
              </w:rPr>
              <w:t>Supplying Resources</w:t>
            </w:r>
          </w:p>
        </w:tc>
        <w:tc>
          <w:tcPr>
            <w:tcW w:w="1168" w:type="dxa"/>
            <w:vAlign w:val="center"/>
          </w:tcPr>
          <w:p w:rsidR="0003185B" w:rsidRPr="00BF1580" w:rsidRDefault="001A22DF" w:rsidP="00BF1580">
            <w:pPr>
              <w:jc w:val="center"/>
              <w:rPr>
                <w:rFonts w:asciiTheme="majorHAnsi" w:hAnsiTheme="majorHAnsi"/>
                <w:b/>
                <w:sz w:val="20"/>
              </w:rPr>
            </w:pPr>
            <w:r>
              <w:rPr>
                <w:rFonts w:asciiTheme="majorHAnsi" w:hAnsiTheme="majorHAnsi"/>
                <w:b/>
                <w:sz w:val="20"/>
              </w:rPr>
              <w:t>Librarian as Technology Teacher</w:t>
            </w:r>
          </w:p>
        </w:tc>
      </w:tr>
      <w:tr w:rsidR="00593AFE" w:rsidTr="00ED2322">
        <w:tc>
          <w:tcPr>
            <w:tcW w:w="1246" w:type="dxa"/>
          </w:tcPr>
          <w:p w:rsidR="0003185B" w:rsidRPr="00BF1580" w:rsidRDefault="00BF1580">
            <w:pPr>
              <w:rPr>
                <w:rFonts w:asciiTheme="majorHAnsi" w:hAnsiTheme="majorHAnsi"/>
                <w:sz w:val="20"/>
              </w:rPr>
            </w:pPr>
            <w:proofErr w:type="spellStart"/>
            <w:r w:rsidRPr="00BF1580">
              <w:rPr>
                <w:rFonts w:asciiTheme="majorHAnsi" w:hAnsiTheme="majorHAnsi"/>
                <w:sz w:val="20"/>
              </w:rPr>
              <w:t>Hiebert</w:t>
            </w:r>
            <w:proofErr w:type="spellEnd"/>
            <w:r w:rsidRPr="00BF1580">
              <w:rPr>
                <w:rFonts w:asciiTheme="majorHAnsi" w:hAnsiTheme="majorHAnsi"/>
                <w:sz w:val="20"/>
              </w:rPr>
              <w:t xml:space="preserve">, </w:t>
            </w:r>
            <w:proofErr w:type="spellStart"/>
            <w:r w:rsidRPr="00BF1580">
              <w:rPr>
                <w:rFonts w:asciiTheme="majorHAnsi" w:hAnsiTheme="majorHAnsi"/>
                <w:sz w:val="20"/>
              </w:rPr>
              <w:t>Elfrieda</w:t>
            </w:r>
            <w:proofErr w:type="spellEnd"/>
            <w:r w:rsidRPr="00BF1580">
              <w:rPr>
                <w:rFonts w:asciiTheme="majorHAnsi" w:hAnsiTheme="majorHAnsi"/>
                <w:sz w:val="20"/>
              </w:rPr>
              <w:t xml:space="preserve"> H.</w:t>
            </w:r>
          </w:p>
        </w:tc>
        <w:tc>
          <w:tcPr>
            <w:tcW w:w="1547" w:type="dxa"/>
          </w:tcPr>
          <w:p w:rsidR="0003185B" w:rsidRPr="00BF1580" w:rsidRDefault="00BF1580">
            <w:pPr>
              <w:rPr>
                <w:rFonts w:asciiTheme="majorHAnsi" w:hAnsiTheme="majorHAnsi"/>
                <w:b/>
                <w:sz w:val="20"/>
              </w:rPr>
            </w:pPr>
            <w:r w:rsidRPr="00BF1580">
              <w:rPr>
                <w:rFonts w:asciiTheme="majorHAnsi" w:hAnsiTheme="majorHAnsi"/>
                <w:sz w:val="20"/>
              </w:rPr>
              <w:t>The Common Core State Standards and Text Complexity</w:t>
            </w:r>
          </w:p>
        </w:tc>
        <w:tc>
          <w:tcPr>
            <w:tcW w:w="725" w:type="dxa"/>
            <w:vAlign w:val="center"/>
          </w:tcPr>
          <w:p w:rsidR="0003185B" w:rsidRPr="00BF1580" w:rsidRDefault="00BF1580" w:rsidP="00BF1580">
            <w:pPr>
              <w:jc w:val="center"/>
              <w:rPr>
                <w:rFonts w:asciiTheme="majorHAnsi" w:hAnsiTheme="majorHAnsi"/>
                <w:sz w:val="20"/>
              </w:rPr>
            </w:pPr>
            <w:r w:rsidRPr="00BF1580">
              <w:rPr>
                <w:rFonts w:asciiTheme="majorHAnsi" w:hAnsiTheme="majorHAnsi"/>
                <w:sz w:val="20"/>
              </w:rPr>
              <w:t>2012</w:t>
            </w:r>
          </w:p>
        </w:tc>
        <w:tc>
          <w:tcPr>
            <w:tcW w:w="1189" w:type="dxa"/>
            <w:vAlign w:val="center"/>
          </w:tcPr>
          <w:p w:rsidR="0003185B" w:rsidRPr="00BF1580" w:rsidRDefault="00BF1580" w:rsidP="00BF1580">
            <w:pPr>
              <w:jc w:val="center"/>
              <w:rPr>
                <w:rFonts w:asciiTheme="majorHAnsi" w:hAnsiTheme="majorHAnsi"/>
                <w:sz w:val="20"/>
              </w:rPr>
            </w:pPr>
            <w:proofErr w:type="gramStart"/>
            <w:r w:rsidRPr="00BF1580">
              <w:rPr>
                <w:rFonts w:asciiTheme="majorHAnsi" w:hAnsiTheme="majorHAnsi"/>
                <w:sz w:val="20"/>
              </w:rPr>
              <w:t>x</w:t>
            </w:r>
            <w:proofErr w:type="gramEnd"/>
          </w:p>
        </w:tc>
        <w:tc>
          <w:tcPr>
            <w:tcW w:w="1173" w:type="dxa"/>
            <w:vAlign w:val="center"/>
          </w:tcPr>
          <w:p w:rsidR="0003185B" w:rsidRPr="00BF1580" w:rsidRDefault="00BF1580" w:rsidP="00BF1580">
            <w:pPr>
              <w:jc w:val="center"/>
              <w:rPr>
                <w:rFonts w:asciiTheme="majorHAnsi" w:hAnsiTheme="majorHAnsi"/>
                <w:sz w:val="20"/>
              </w:rPr>
            </w:pPr>
            <w:proofErr w:type="gramStart"/>
            <w:r w:rsidRPr="00BF1580">
              <w:rPr>
                <w:rFonts w:asciiTheme="majorHAnsi" w:hAnsiTheme="majorHAnsi"/>
                <w:sz w:val="20"/>
              </w:rPr>
              <w:t>x</w:t>
            </w:r>
            <w:proofErr w:type="gramEnd"/>
          </w:p>
        </w:tc>
        <w:tc>
          <w:tcPr>
            <w:tcW w:w="1345" w:type="dxa"/>
            <w:vAlign w:val="center"/>
          </w:tcPr>
          <w:p w:rsidR="0003185B" w:rsidRPr="00BF1580" w:rsidRDefault="0003185B" w:rsidP="00BF1580">
            <w:pPr>
              <w:jc w:val="center"/>
              <w:rPr>
                <w:rFonts w:asciiTheme="majorHAnsi" w:hAnsiTheme="majorHAnsi"/>
                <w:sz w:val="20"/>
              </w:rPr>
            </w:pPr>
          </w:p>
        </w:tc>
        <w:tc>
          <w:tcPr>
            <w:tcW w:w="1183" w:type="dxa"/>
            <w:vAlign w:val="center"/>
          </w:tcPr>
          <w:p w:rsidR="0003185B" w:rsidRPr="00BF1580" w:rsidRDefault="00BF1580" w:rsidP="00BF1580">
            <w:pPr>
              <w:jc w:val="center"/>
              <w:rPr>
                <w:rFonts w:asciiTheme="majorHAnsi" w:hAnsiTheme="majorHAnsi"/>
                <w:sz w:val="20"/>
              </w:rPr>
            </w:pPr>
            <w:proofErr w:type="gramStart"/>
            <w:r w:rsidRPr="00BF1580">
              <w:rPr>
                <w:rFonts w:asciiTheme="majorHAnsi" w:hAnsiTheme="majorHAnsi"/>
                <w:sz w:val="20"/>
              </w:rPr>
              <w:t>x</w:t>
            </w:r>
            <w:proofErr w:type="gramEnd"/>
          </w:p>
        </w:tc>
        <w:tc>
          <w:tcPr>
            <w:tcW w:w="1168" w:type="dxa"/>
            <w:vAlign w:val="center"/>
          </w:tcPr>
          <w:p w:rsidR="0003185B" w:rsidRPr="00BF1580" w:rsidRDefault="0003185B" w:rsidP="00BF1580">
            <w:pPr>
              <w:jc w:val="center"/>
              <w:rPr>
                <w:rFonts w:asciiTheme="majorHAnsi" w:hAnsiTheme="majorHAnsi"/>
                <w:sz w:val="20"/>
              </w:rPr>
            </w:pPr>
          </w:p>
        </w:tc>
      </w:tr>
      <w:tr w:rsidR="00593AFE" w:rsidTr="00ED2322">
        <w:tc>
          <w:tcPr>
            <w:tcW w:w="1246" w:type="dxa"/>
          </w:tcPr>
          <w:p w:rsidR="0003185B" w:rsidRPr="001A22DF" w:rsidRDefault="001A22DF">
            <w:pPr>
              <w:rPr>
                <w:rFonts w:asciiTheme="majorHAnsi" w:hAnsiTheme="majorHAnsi"/>
                <w:sz w:val="20"/>
              </w:rPr>
            </w:pPr>
            <w:r w:rsidRPr="001A22DF">
              <w:rPr>
                <w:rFonts w:asciiTheme="majorHAnsi" w:hAnsiTheme="majorHAnsi"/>
                <w:sz w:val="20"/>
              </w:rPr>
              <w:t>Morris, Rebecca J.</w:t>
            </w:r>
          </w:p>
        </w:tc>
        <w:tc>
          <w:tcPr>
            <w:tcW w:w="1547" w:type="dxa"/>
          </w:tcPr>
          <w:p w:rsidR="0003185B" w:rsidRPr="001A22DF" w:rsidRDefault="001A22DF">
            <w:pPr>
              <w:rPr>
                <w:rFonts w:asciiTheme="majorHAnsi" w:hAnsiTheme="majorHAnsi"/>
                <w:sz w:val="20"/>
              </w:rPr>
            </w:pPr>
            <w:r>
              <w:rPr>
                <w:rFonts w:asciiTheme="majorHAnsi" w:hAnsiTheme="majorHAnsi"/>
                <w:sz w:val="20"/>
              </w:rPr>
              <w:t>Find Where You Fit in the Common Core, or The Time I Forgot About Librarians and R</w:t>
            </w:r>
            <w:r w:rsidRPr="001A22DF">
              <w:rPr>
                <w:rFonts w:asciiTheme="majorHAnsi" w:hAnsiTheme="majorHAnsi"/>
                <w:sz w:val="20"/>
              </w:rPr>
              <w:t>eading. </w:t>
            </w:r>
          </w:p>
        </w:tc>
        <w:tc>
          <w:tcPr>
            <w:tcW w:w="725" w:type="dxa"/>
            <w:vAlign w:val="center"/>
          </w:tcPr>
          <w:p w:rsidR="0003185B" w:rsidRPr="001A22DF" w:rsidRDefault="001A22DF" w:rsidP="00BF1580">
            <w:pPr>
              <w:jc w:val="center"/>
              <w:rPr>
                <w:rFonts w:asciiTheme="majorHAnsi" w:hAnsiTheme="majorHAnsi"/>
                <w:sz w:val="20"/>
              </w:rPr>
            </w:pPr>
            <w:r>
              <w:rPr>
                <w:rFonts w:asciiTheme="majorHAnsi" w:hAnsiTheme="majorHAnsi"/>
                <w:sz w:val="20"/>
              </w:rPr>
              <w:t>2012</w:t>
            </w:r>
          </w:p>
        </w:tc>
        <w:tc>
          <w:tcPr>
            <w:tcW w:w="1189" w:type="dxa"/>
            <w:vAlign w:val="center"/>
          </w:tcPr>
          <w:p w:rsidR="0003185B" w:rsidRPr="001A22DF" w:rsidRDefault="001A22DF" w:rsidP="001A22DF">
            <w:pPr>
              <w:jc w:val="center"/>
              <w:rPr>
                <w:rFonts w:asciiTheme="majorHAnsi" w:hAnsiTheme="majorHAnsi"/>
                <w:sz w:val="20"/>
              </w:rPr>
            </w:pPr>
            <w:proofErr w:type="gramStart"/>
            <w:r w:rsidRPr="001A22DF">
              <w:rPr>
                <w:rFonts w:asciiTheme="majorHAnsi" w:hAnsiTheme="majorHAnsi"/>
                <w:sz w:val="20"/>
              </w:rPr>
              <w:t>x</w:t>
            </w:r>
            <w:proofErr w:type="gramEnd"/>
          </w:p>
        </w:tc>
        <w:tc>
          <w:tcPr>
            <w:tcW w:w="1173" w:type="dxa"/>
            <w:vAlign w:val="center"/>
          </w:tcPr>
          <w:p w:rsidR="0003185B" w:rsidRPr="001A22DF" w:rsidRDefault="001A22DF" w:rsidP="001A22DF">
            <w:pPr>
              <w:jc w:val="center"/>
              <w:rPr>
                <w:rFonts w:asciiTheme="majorHAnsi" w:hAnsiTheme="majorHAnsi"/>
                <w:sz w:val="20"/>
              </w:rPr>
            </w:pPr>
            <w:proofErr w:type="gramStart"/>
            <w:r w:rsidRPr="001A22DF">
              <w:rPr>
                <w:rFonts w:asciiTheme="majorHAnsi" w:hAnsiTheme="majorHAnsi"/>
                <w:sz w:val="20"/>
              </w:rPr>
              <w:t>x</w:t>
            </w:r>
            <w:proofErr w:type="gramEnd"/>
          </w:p>
        </w:tc>
        <w:tc>
          <w:tcPr>
            <w:tcW w:w="1345" w:type="dxa"/>
            <w:vAlign w:val="center"/>
          </w:tcPr>
          <w:p w:rsidR="0003185B" w:rsidRPr="00BF1580" w:rsidRDefault="001A22DF" w:rsidP="00BF1580">
            <w:pPr>
              <w:jc w:val="center"/>
              <w:rPr>
                <w:rFonts w:asciiTheme="majorHAnsi" w:hAnsiTheme="majorHAnsi"/>
                <w:sz w:val="20"/>
              </w:rPr>
            </w:pPr>
            <w:proofErr w:type="gramStart"/>
            <w:r>
              <w:rPr>
                <w:rFonts w:asciiTheme="majorHAnsi" w:hAnsiTheme="majorHAnsi"/>
                <w:sz w:val="20"/>
              </w:rPr>
              <w:t>x</w:t>
            </w:r>
            <w:proofErr w:type="gramEnd"/>
          </w:p>
        </w:tc>
        <w:tc>
          <w:tcPr>
            <w:tcW w:w="1183" w:type="dxa"/>
            <w:vAlign w:val="center"/>
          </w:tcPr>
          <w:p w:rsidR="0003185B" w:rsidRPr="00BF1580" w:rsidRDefault="001A22DF" w:rsidP="00BF1580">
            <w:pPr>
              <w:jc w:val="center"/>
              <w:rPr>
                <w:rFonts w:asciiTheme="majorHAnsi" w:hAnsiTheme="majorHAnsi"/>
                <w:sz w:val="20"/>
              </w:rPr>
            </w:pPr>
            <w:proofErr w:type="gramStart"/>
            <w:r>
              <w:rPr>
                <w:rFonts w:asciiTheme="majorHAnsi" w:hAnsiTheme="majorHAnsi"/>
                <w:sz w:val="20"/>
              </w:rPr>
              <w:t>x</w:t>
            </w:r>
            <w:proofErr w:type="gramEnd"/>
          </w:p>
        </w:tc>
        <w:tc>
          <w:tcPr>
            <w:tcW w:w="1168" w:type="dxa"/>
            <w:vAlign w:val="center"/>
          </w:tcPr>
          <w:p w:rsidR="0003185B" w:rsidRPr="00BF1580" w:rsidRDefault="0003185B" w:rsidP="00BF1580">
            <w:pPr>
              <w:jc w:val="center"/>
              <w:rPr>
                <w:rFonts w:asciiTheme="majorHAnsi" w:hAnsiTheme="majorHAnsi"/>
                <w:sz w:val="20"/>
              </w:rPr>
            </w:pPr>
          </w:p>
        </w:tc>
      </w:tr>
      <w:tr w:rsidR="00593AFE" w:rsidTr="00ED2322">
        <w:tc>
          <w:tcPr>
            <w:tcW w:w="1246" w:type="dxa"/>
          </w:tcPr>
          <w:p w:rsidR="0003185B" w:rsidRPr="001A22DF" w:rsidRDefault="00A47479">
            <w:pPr>
              <w:rPr>
                <w:rFonts w:asciiTheme="majorHAnsi" w:hAnsiTheme="majorHAnsi"/>
                <w:sz w:val="20"/>
              </w:rPr>
            </w:pPr>
            <w:r>
              <w:rPr>
                <w:rFonts w:asciiTheme="majorHAnsi" w:hAnsiTheme="majorHAnsi"/>
                <w:sz w:val="20"/>
              </w:rPr>
              <w:t>Hill, Rebecca</w:t>
            </w:r>
          </w:p>
        </w:tc>
        <w:tc>
          <w:tcPr>
            <w:tcW w:w="1547" w:type="dxa"/>
          </w:tcPr>
          <w:p w:rsidR="0003185B" w:rsidRPr="001A22DF" w:rsidRDefault="00A47479">
            <w:pPr>
              <w:rPr>
                <w:rFonts w:asciiTheme="majorHAnsi" w:hAnsiTheme="majorHAnsi"/>
                <w:sz w:val="20"/>
              </w:rPr>
            </w:pPr>
            <w:r>
              <w:rPr>
                <w:rFonts w:asciiTheme="majorHAnsi" w:hAnsiTheme="majorHAnsi"/>
                <w:sz w:val="20"/>
              </w:rPr>
              <w:t>All Aboard!</w:t>
            </w:r>
          </w:p>
        </w:tc>
        <w:tc>
          <w:tcPr>
            <w:tcW w:w="725" w:type="dxa"/>
            <w:vAlign w:val="center"/>
          </w:tcPr>
          <w:p w:rsidR="0003185B" w:rsidRPr="001A22DF" w:rsidRDefault="00A47479" w:rsidP="00BF1580">
            <w:pPr>
              <w:jc w:val="center"/>
              <w:rPr>
                <w:rFonts w:asciiTheme="majorHAnsi" w:hAnsiTheme="majorHAnsi"/>
                <w:sz w:val="20"/>
              </w:rPr>
            </w:pPr>
            <w:r>
              <w:rPr>
                <w:rFonts w:asciiTheme="majorHAnsi" w:hAnsiTheme="majorHAnsi"/>
                <w:sz w:val="20"/>
              </w:rPr>
              <w:t>2012</w:t>
            </w:r>
          </w:p>
        </w:tc>
        <w:tc>
          <w:tcPr>
            <w:tcW w:w="1189" w:type="dxa"/>
            <w:vAlign w:val="center"/>
          </w:tcPr>
          <w:p w:rsidR="0003185B" w:rsidRPr="001A22DF" w:rsidRDefault="00A47479" w:rsidP="001A22DF">
            <w:pPr>
              <w:jc w:val="center"/>
              <w:rPr>
                <w:rFonts w:asciiTheme="majorHAnsi" w:hAnsiTheme="majorHAnsi"/>
                <w:sz w:val="20"/>
              </w:rPr>
            </w:pPr>
            <w:proofErr w:type="gramStart"/>
            <w:r>
              <w:rPr>
                <w:rFonts w:asciiTheme="majorHAnsi" w:hAnsiTheme="majorHAnsi"/>
                <w:sz w:val="20"/>
              </w:rPr>
              <w:t>x</w:t>
            </w:r>
            <w:proofErr w:type="gramEnd"/>
          </w:p>
        </w:tc>
        <w:tc>
          <w:tcPr>
            <w:tcW w:w="1173" w:type="dxa"/>
            <w:vAlign w:val="center"/>
          </w:tcPr>
          <w:p w:rsidR="0003185B" w:rsidRPr="001A22DF" w:rsidRDefault="00A47479" w:rsidP="001A22DF">
            <w:pPr>
              <w:jc w:val="center"/>
              <w:rPr>
                <w:rFonts w:asciiTheme="majorHAnsi" w:hAnsiTheme="majorHAnsi"/>
                <w:sz w:val="20"/>
              </w:rPr>
            </w:pPr>
            <w:proofErr w:type="gramStart"/>
            <w:r>
              <w:rPr>
                <w:rFonts w:asciiTheme="majorHAnsi" w:hAnsiTheme="majorHAnsi"/>
                <w:sz w:val="20"/>
              </w:rPr>
              <w:t>x</w:t>
            </w:r>
            <w:proofErr w:type="gramEnd"/>
          </w:p>
        </w:tc>
        <w:tc>
          <w:tcPr>
            <w:tcW w:w="1345" w:type="dxa"/>
            <w:vAlign w:val="center"/>
          </w:tcPr>
          <w:p w:rsidR="0003185B" w:rsidRPr="00BF1580" w:rsidRDefault="00A47479" w:rsidP="00BF1580">
            <w:pPr>
              <w:jc w:val="center"/>
              <w:rPr>
                <w:rFonts w:asciiTheme="majorHAnsi" w:hAnsiTheme="majorHAnsi"/>
                <w:sz w:val="20"/>
              </w:rPr>
            </w:pPr>
            <w:proofErr w:type="gramStart"/>
            <w:r>
              <w:rPr>
                <w:rFonts w:asciiTheme="majorHAnsi" w:hAnsiTheme="majorHAnsi"/>
                <w:sz w:val="20"/>
              </w:rPr>
              <w:t>x</w:t>
            </w:r>
            <w:proofErr w:type="gramEnd"/>
          </w:p>
        </w:tc>
        <w:tc>
          <w:tcPr>
            <w:tcW w:w="1183" w:type="dxa"/>
            <w:vAlign w:val="center"/>
          </w:tcPr>
          <w:p w:rsidR="0003185B" w:rsidRPr="00BF1580" w:rsidRDefault="0003185B" w:rsidP="00BF1580">
            <w:pPr>
              <w:jc w:val="center"/>
              <w:rPr>
                <w:rFonts w:asciiTheme="majorHAnsi" w:hAnsiTheme="majorHAnsi"/>
                <w:sz w:val="20"/>
              </w:rPr>
            </w:pPr>
          </w:p>
        </w:tc>
        <w:tc>
          <w:tcPr>
            <w:tcW w:w="1168" w:type="dxa"/>
            <w:vAlign w:val="center"/>
          </w:tcPr>
          <w:p w:rsidR="0003185B" w:rsidRPr="00BF1580" w:rsidRDefault="0003185B" w:rsidP="00BF1580">
            <w:pPr>
              <w:jc w:val="center"/>
              <w:rPr>
                <w:rFonts w:asciiTheme="majorHAnsi" w:hAnsiTheme="majorHAnsi"/>
                <w:sz w:val="20"/>
              </w:rPr>
            </w:pPr>
          </w:p>
        </w:tc>
      </w:tr>
      <w:tr w:rsidR="00593AFE" w:rsidTr="00ED2322">
        <w:tc>
          <w:tcPr>
            <w:tcW w:w="1246" w:type="dxa"/>
          </w:tcPr>
          <w:p w:rsidR="00842D81" w:rsidRDefault="00842D81">
            <w:pPr>
              <w:rPr>
                <w:rFonts w:asciiTheme="majorHAnsi" w:hAnsiTheme="majorHAnsi"/>
                <w:sz w:val="20"/>
              </w:rPr>
            </w:pPr>
            <w:r>
              <w:rPr>
                <w:rFonts w:asciiTheme="majorHAnsi" w:hAnsiTheme="majorHAnsi"/>
                <w:sz w:val="20"/>
              </w:rPr>
              <w:t>White,</w:t>
            </w:r>
          </w:p>
          <w:p w:rsidR="0003185B" w:rsidRPr="001A22DF" w:rsidRDefault="00842D81">
            <w:pPr>
              <w:rPr>
                <w:rFonts w:asciiTheme="majorHAnsi" w:hAnsiTheme="majorHAnsi"/>
                <w:sz w:val="20"/>
              </w:rPr>
            </w:pPr>
            <w:r>
              <w:rPr>
                <w:rFonts w:asciiTheme="majorHAnsi" w:hAnsiTheme="majorHAnsi"/>
                <w:sz w:val="20"/>
              </w:rPr>
              <w:t>Bruce</w:t>
            </w:r>
          </w:p>
        </w:tc>
        <w:tc>
          <w:tcPr>
            <w:tcW w:w="1547" w:type="dxa"/>
          </w:tcPr>
          <w:p w:rsidR="0003185B" w:rsidRPr="00842D81" w:rsidRDefault="00842D81">
            <w:pPr>
              <w:rPr>
                <w:rFonts w:asciiTheme="majorHAnsi" w:hAnsiTheme="majorHAnsi"/>
                <w:sz w:val="20"/>
              </w:rPr>
            </w:pPr>
            <w:r w:rsidRPr="00842D81">
              <w:rPr>
                <w:rFonts w:asciiTheme="majorHAnsi" w:hAnsiTheme="majorHAnsi"/>
                <w:sz w:val="20"/>
              </w:rPr>
              <w:t>Toward a Learning Commons: My Journey; Your Journey</w:t>
            </w:r>
          </w:p>
        </w:tc>
        <w:tc>
          <w:tcPr>
            <w:tcW w:w="725" w:type="dxa"/>
            <w:vAlign w:val="center"/>
          </w:tcPr>
          <w:p w:rsidR="0003185B" w:rsidRPr="001A22DF" w:rsidRDefault="00842D81" w:rsidP="00BF1580">
            <w:pPr>
              <w:jc w:val="center"/>
              <w:rPr>
                <w:rFonts w:asciiTheme="majorHAnsi" w:hAnsiTheme="majorHAnsi"/>
                <w:sz w:val="20"/>
              </w:rPr>
            </w:pPr>
            <w:r>
              <w:rPr>
                <w:rFonts w:asciiTheme="majorHAnsi" w:hAnsiTheme="majorHAnsi"/>
                <w:sz w:val="20"/>
              </w:rPr>
              <w:t>2011</w:t>
            </w:r>
          </w:p>
        </w:tc>
        <w:tc>
          <w:tcPr>
            <w:tcW w:w="1189" w:type="dxa"/>
            <w:vAlign w:val="center"/>
          </w:tcPr>
          <w:p w:rsidR="0003185B" w:rsidRPr="001A22DF" w:rsidRDefault="00842D81" w:rsidP="001A22DF">
            <w:pPr>
              <w:jc w:val="center"/>
              <w:rPr>
                <w:rFonts w:asciiTheme="majorHAnsi" w:hAnsiTheme="majorHAnsi"/>
                <w:sz w:val="20"/>
              </w:rPr>
            </w:pPr>
            <w:proofErr w:type="gramStart"/>
            <w:r>
              <w:rPr>
                <w:rFonts w:asciiTheme="majorHAnsi" w:hAnsiTheme="majorHAnsi"/>
                <w:sz w:val="20"/>
              </w:rPr>
              <w:t>x</w:t>
            </w:r>
            <w:proofErr w:type="gramEnd"/>
          </w:p>
        </w:tc>
        <w:tc>
          <w:tcPr>
            <w:tcW w:w="1173" w:type="dxa"/>
            <w:vAlign w:val="center"/>
          </w:tcPr>
          <w:p w:rsidR="0003185B" w:rsidRPr="001A22DF" w:rsidRDefault="00842D81" w:rsidP="001A22DF">
            <w:pPr>
              <w:jc w:val="center"/>
              <w:rPr>
                <w:rFonts w:asciiTheme="majorHAnsi" w:hAnsiTheme="majorHAnsi"/>
                <w:sz w:val="20"/>
              </w:rPr>
            </w:pPr>
            <w:proofErr w:type="gramStart"/>
            <w:r>
              <w:rPr>
                <w:rFonts w:asciiTheme="majorHAnsi" w:hAnsiTheme="majorHAnsi"/>
                <w:sz w:val="20"/>
              </w:rPr>
              <w:t>x</w:t>
            </w:r>
            <w:proofErr w:type="gramEnd"/>
          </w:p>
        </w:tc>
        <w:tc>
          <w:tcPr>
            <w:tcW w:w="1345" w:type="dxa"/>
            <w:vAlign w:val="center"/>
          </w:tcPr>
          <w:p w:rsidR="0003185B" w:rsidRPr="00BF1580" w:rsidRDefault="00842D81" w:rsidP="00BF1580">
            <w:pPr>
              <w:jc w:val="center"/>
              <w:rPr>
                <w:rFonts w:asciiTheme="majorHAnsi" w:hAnsiTheme="majorHAnsi"/>
                <w:sz w:val="20"/>
              </w:rPr>
            </w:pPr>
            <w:proofErr w:type="gramStart"/>
            <w:r>
              <w:rPr>
                <w:rFonts w:asciiTheme="majorHAnsi" w:hAnsiTheme="majorHAnsi"/>
                <w:sz w:val="20"/>
              </w:rPr>
              <w:t>x</w:t>
            </w:r>
            <w:proofErr w:type="gramEnd"/>
          </w:p>
        </w:tc>
        <w:tc>
          <w:tcPr>
            <w:tcW w:w="1183" w:type="dxa"/>
            <w:vAlign w:val="center"/>
          </w:tcPr>
          <w:p w:rsidR="0003185B" w:rsidRPr="00BF1580" w:rsidRDefault="00842D81" w:rsidP="00BF1580">
            <w:pPr>
              <w:jc w:val="center"/>
              <w:rPr>
                <w:rFonts w:asciiTheme="majorHAnsi" w:hAnsiTheme="majorHAnsi"/>
                <w:sz w:val="20"/>
              </w:rPr>
            </w:pPr>
            <w:proofErr w:type="gramStart"/>
            <w:r>
              <w:rPr>
                <w:rFonts w:asciiTheme="majorHAnsi" w:hAnsiTheme="majorHAnsi"/>
                <w:sz w:val="20"/>
              </w:rPr>
              <w:t>x</w:t>
            </w:r>
            <w:proofErr w:type="gramEnd"/>
          </w:p>
        </w:tc>
        <w:tc>
          <w:tcPr>
            <w:tcW w:w="1168" w:type="dxa"/>
            <w:vAlign w:val="center"/>
          </w:tcPr>
          <w:p w:rsidR="0003185B" w:rsidRPr="00BF1580" w:rsidRDefault="00842D81" w:rsidP="00BF1580">
            <w:pPr>
              <w:jc w:val="center"/>
              <w:rPr>
                <w:rFonts w:asciiTheme="majorHAnsi" w:hAnsiTheme="majorHAnsi"/>
                <w:sz w:val="20"/>
              </w:rPr>
            </w:pPr>
            <w:proofErr w:type="gramStart"/>
            <w:r>
              <w:rPr>
                <w:rFonts w:asciiTheme="majorHAnsi" w:hAnsiTheme="majorHAnsi"/>
                <w:sz w:val="20"/>
              </w:rPr>
              <w:t>x</w:t>
            </w:r>
            <w:proofErr w:type="gramEnd"/>
          </w:p>
        </w:tc>
      </w:tr>
      <w:tr w:rsidR="00593AFE" w:rsidTr="00ED2322">
        <w:tc>
          <w:tcPr>
            <w:tcW w:w="1246" w:type="dxa"/>
          </w:tcPr>
          <w:p w:rsidR="00186ABF" w:rsidRPr="00186ABF" w:rsidRDefault="00186ABF" w:rsidP="00186ABF">
            <w:pPr>
              <w:rPr>
                <w:rFonts w:asciiTheme="majorHAnsi" w:hAnsiTheme="majorHAnsi"/>
                <w:sz w:val="20"/>
              </w:rPr>
            </w:pPr>
            <w:proofErr w:type="spellStart"/>
            <w:r w:rsidRPr="00186ABF">
              <w:rPr>
                <w:rFonts w:asciiTheme="majorHAnsi" w:hAnsiTheme="majorHAnsi"/>
                <w:sz w:val="20"/>
              </w:rPr>
              <w:t>Loertscher</w:t>
            </w:r>
            <w:proofErr w:type="spellEnd"/>
            <w:r>
              <w:rPr>
                <w:rFonts w:asciiTheme="majorHAnsi" w:hAnsiTheme="majorHAnsi"/>
                <w:sz w:val="20"/>
              </w:rPr>
              <w:t xml:space="preserve">, </w:t>
            </w:r>
            <w:r w:rsidRPr="00186ABF">
              <w:rPr>
                <w:rFonts w:asciiTheme="majorHAnsi" w:hAnsiTheme="majorHAnsi"/>
                <w:sz w:val="20"/>
              </w:rPr>
              <w:t>David V.</w:t>
            </w:r>
          </w:p>
          <w:p w:rsidR="0003185B" w:rsidRPr="001A22DF" w:rsidRDefault="0003185B">
            <w:pPr>
              <w:rPr>
                <w:rFonts w:asciiTheme="majorHAnsi" w:hAnsiTheme="majorHAnsi"/>
                <w:sz w:val="20"/>
              </w:rPr>
            </w:pPr>
          </w:p>
        </w:tc>
        <w:tc>
          <w:tcPr>
            <w:tcW w:w="1547" w:type="dxa"/>
          </w:tcPr>
          <w:p w:rsidR="0003185B" w:rsidRPr="00186ABF" w:rsidRDefault="00186ABF">
            <w:pPr>
              <w:rPr>
                <w:rFonts w:asciiTheme="majorHAnsi" w:hAnsiTheme="majorHAnsi"/>
                <w:color w:val="222222"/>
                <w:sz w:val="20"/>
                <w:szCs w:val="17"/>
                <w:shd w:val="clear" w:color="auto" w:fill="FFFFFF"/>
              </w:rPr>
            </w:pPr>
            <w:r w:rsidRPr="00186ABF">
              <w:rPr>
                <w:rFonts w:asciiTheme="majorHAnsi" w:hAnsiTheme="majorHAnsi"/>
                <w:color w:val="222222"/>
                <w:sz w:val="20"/>
                <w:szCs w:val="17"/>
                <w:shd w:val="clear" w:color="auto" w:fill="FFFFFF"/>
              </w:rPr>
              <w:t>At the Center of Teaching and Learning, or Isolated Again, It's Time to Decide</w:t>
            </w:r>
          </w:p>
        </w:tc>
        <w:tc>
          <w:tcPr>
            <w:tcW w:w="725" w:type="dxa"/>
            <w:vAlign w:val="center"/>
          </w:tcPr>
          <w:p w:rsidR="0003185B" w:rsidRPr="001A22DF" w:rsidRDefault="00186ABF" w:rsidP="00BF1580">
            <w:pPr>
              <w:jc w:val="center"/>
              <w:rPr>
                <w:rFonts w:asciiTheme="majorHAnsi" w:hAnsiTheme="majorHAnsi"/>
                <w:sz w:val="20"/>
              </w:rPr>
            </w:pPr>
            <w:r>
              <w:rPr>
                <w:rFonts w:asciiTheme="majorHAnsi" w:hAnsiTheme="majorHAnsi"/>
                <w:sz w:val="20"/>
              </w:rPr>
              <w:t>2012</w:t>
            </w:r>
          </w:p>
        </w:tc>
        <w:tc>
          <w:tcPr>
            <w:tcW w:w="1189" w:type="dxa"/>
            <w:vAlign w:val="center"/>
          </w:tcPr>
          <w:p w:rsidR="0003185B" w:rsidRPr="001A22DF" w:rsidRDefault="00186ABF" w:rsidP="001A22DF">
            <w:pPr>
              <w:jc w:val="center"/>
              <w:rPr>
                <w:rFonts w:asciiTheme="majorHAnsi" w:hAnsiTheme="majorHAnsi"/>
                <w:sz w:val="20"/>
              </w:rPr>
            </w:pPr>
            <w:proofErr w:type="gramStart"/>
            <w:r>
              <w:rPr>
                <w:rFonts w:asciiTheme="majorHAnsi" w:hAnsiTheme="majorHAnsi"/>
                <w:sz w:val="20"/>
              </w:rPr>
              <w:t>x</w:t>
            </w:r>
            <w:proofErr w:type="gramEnd"/>
          </w:p>
        </w:tc>
        <w:tc>
          <w:tcPr>
            <w:tcW w:w="1173" w:type="dxa"/>
            <w:vAlign w:val="center"/>
          </w:tcPr>
          <w:p w:rsidR="0003185B" w:rsidRPr="001A22DF" w:rsidRDefault="0003185B" w:rsidP="001A22DF">
            <w:pPr>
              <w:jc w:val="center"/>
              <w:rPr>
                <w:rFonts w:asciiTheme="majorHAnsi" w:hAnsiTheme="majorHAnsi"/>
                <w:sz w:val="20"/>
              </w:rPr>
            </w:pPr>
          </w:p>
        </w:tc>
        <w:tc>
          <w:tcPr>
            <w:tcW w:w="1345" w:type="dxa"/>
            <w:vAlign w:val="center"/>
          </w:tcPr>
          <w:p w:rsidR="0003185B" w:rsidRPr="00BF1580" w:rsidRDefault="00186ABF" w:rsidP="00BF1580">
            <w:pPr>
              <w:jc w:val="center"/>
              <w:rPr>
                <w:rFonts w:asciiTheme="majorHAnsi" w:hAnsiTheme="majorHAnsi"/>
                <w:sz w:val="20"/>
              </w:rPr>
            </w:pPr>
            <w:proofErr w:type="gramStart"/>
            <w:r>
              <w:rPr>
                <w:rFonts w:asciiTheme="majorHAnsi" w:hAnsiTheme="majorHAnsi"/>
                <w:sz w:val="20"/>
              </w:rPr>
              <w:t>x</w:t>
            </w:r>
            <w:proofErr w:type="gramEnd"/>
          </w:p>
        </w:tc>
        <w:tc>
          <w:tcPr>
            <w:tcW w:w="1183" w:type="dxa"/>
            <w:vAlign w:val="center"/>
          </w:tcPr>
          <w:p w:rsidR="0003185B" w:rsidRPr="00BF1580" w:rsidRDefault="0003185B" w:rsidP="00BF1580">
            <w:pPr>
              <w:jc w:val="center"/>
              <w:rPr>
                <w:rFonts w:asciiTheme="majorHAnsi" w:hAnsiTheme="majorHAnsi"/>
                <w:sz w:val="20"/>
              </w:rPr>
            </w:pPr>
          </w:p>
        </w:tc>
        <w:tc>
          <w:tcPr>
            <w:tcW w:w="1168" w:type="dxa"/>
            <w:vAlign w:val="center"/>
          </w:tcPr>
          <w:p w:rsidR="0003185B" w:rsidRPr="00BF1580" w:rsidRDefault="00186ABF" w:rsidP="00BF1580">
            <w:pPr>
              <w:jc w:val="center"/>
              <w:rPr>
                <w:rFonts w:asciiTheme="majorHAnsi" w:hAnsiTheme="majorHAnsi"/>
                <w:sz w:val="20"/>
              </w:rPr>
            </w:pPr>
            <w:proofErr w:type="gramStart"/>
            <w:r>
              <w:rPr>
                <w:rFonts w:asciiTheme="majorHAnsi" w:hAnsiTheme="majorHAnsi"/>
                <w:sz w:val="20"/>
              </w:rPr>
              <w:t>x</w:t>
            </w:r>
            <w:proofErr w:type="gramEnd"/>
          </w:p>
        </w:tc>
      </w:tr>
      <w:tr w:rsidR="00593AFE" w:rsidTr="00ED2322">
        <w:tc>
          <w:tcPr>
            <w:tcW w:w="1246" w:type="dxa"/>
          </w:tcPr>
          <w:p w:rsidR="0003185B" w:rsidRPr="001A22DF" w:rsidRDefault="00833A08">
            <w:pPr>
              <w:rPr>
                <w:rFonts w:asciiTheme="majorHAnsi" w:hAnsiTheme="majorHAnsi"/>
                <w:sz w:val="20"/>
              </w:rPr>
            </w:pPr>
            <w:r>
              <w:rPr>
                <w:rFonts w:asciiTheme="majorHAnsi" w:hAnsiTheme="majorHAnsi"/>
                <w:sz w:val="20"/>
              </w:rPr>
              <w:t>Wright, Shelley</w:t>
            </w:r>
          </w:p>
        </w:tc>
        <w:tc>
          <w:tcPr>
            <w:tcW w:w="1547" w:type="dxa"/>
          </w:tcPr>
          <w:p w:rsidR="0003185B" w:rsidRPr="001A22DF" w:rsidRDefault="00833A08">
            <w:pPr>
              <w:rPr>
                <w:rFonts w:asciiTheme="majorHAnsi" w:hAnsiTheme="majorHAnsi"/>
                <w:sz w:val="20"/>
              </w:rPr>
            </w:pPr>
            <w:r>
              <w:rPr>
                <w:rFonts w:asciiTheme="majorHAnsi" w:hAnsiTheme="majorHAnsi"/>
                <w:sz w:val="20"/>
              </w:rPr>
              <w:t>Flipping Bloom’s Taxonomy</w:t>
            </w:r>
          </w:p>
        </w:tc>
        <w:tc>
          <w:tcPr>
            <w:tcW w:w="725" w:type="dxa"/>
            <w:vAlign w:val="center"/>
          </w:tcPr>
          <w:p w:rsidR="0003185B" w:rsidRPr="001A22DF" w:rsidRDefault="00833A08" w:rsidP="00BF1580">
            <w:pPr>
              <w:jc w:val="center"/>
              <w:rPr>
                <w:rFonts w:asciiTheme="majorHAnsi" w:hAnsiTheme="majorHAnsi"/>
                <w:sz w:val="20"/>
              </w:rPr>
            </w:pPr>
            <w:r>
              <w:rPr>
                <w:rFonts w:asciiTheme="majorHAnsi" w:hAnsiTheme="majorHAnsi"/>
                <w:sz w:val="20"/>
              </w:rPr>
              <w:t>2012</w:t>
            </w:r>
          </w:p>
        </w:tc>
        <w:tc>
          <w:tcPr>
            <w:tcW w:w="1189" w:type="dxa"/>
            <w:vAlign w:val="center"/>
          </w:tcPr>
          <w:p w:rsidR="0003185B" w:rsidRPr="001A22DF" w:rsidRDefault="0003185B" w:rsidP="001A22DF">
            <w:pPr>
              <w:jc w:val="center"/>
              <w:rPr>
                <w:rFonts w:asciiTheme="majorHAnsi" w:hAnsiTheme="majorHAnsi"/>
                <w:sz w:val="20"/>
              </w:rPr>
            </w:pPr>
          </w:p>
        </w:tc>
        <w:tc>
          <w:tcPr>
            <w:tcW w:w="1173" w:type="dxa"/>
            <w:vAlign w:val="center"/>
          </w:tcPr>
          <w:p w:rsidR="0003185B" w:rsidRPr="001A22DF" w:rsidRDefault="0003185B" w:rsidP="001A22DF">
            <w:pPr>
              <w:jc w:val="center"/>
              <w:rPr>
                <w:rFonts w:asciiTheme="majorHAnsi" w:hAnsiTheme="majorHAnsi"/>
                <w:sz w:val="20"/>
              </w:rPr>
            </w:pPr>
          </w:p>
        </w:tc>
        <w:tc>
          <w:tcPr>
            <w:tcW w:w="1345" w:type="dxa"/>
            <w:vAlign w:val="center"/>
          </w:tcPr>
          <w:p w:rsidR="0003185B" w:rsidRPr="00BF1580" w:rsidRDefault="008716E9" w:rsidP="00BF1580">
            <w:pPr>
              <w:jc w:val="center"/>
              <w:rPr>
                <w:rFonts w:asciiTheme="majorHAnsi" w:hAnsiTheme="majorHAnsi"/>
                <w:sz w:val="20"/>
              </w:rPr>
            </w:pPr>
            <w:proofErr w:type="gramStart"/>
            <w:r>
              <w:rPr>
                <w:rFonts w:asciiTheme="majorHAnsi" w:hAnsiTheme="majorHAnsi"/>
                <w:sz w:val="20"/>
              </w:rPr>
              <w:t>x</w:t>
            </w:r>
            <w:proofErr w:type="gramEnd"/>
          </w:p>
        </w:tc>
        <w:tc>
          <w:tcPr>
            <w:tcW w:w="1183" w:type="dxa"/>
            <w:vAlign w:val="center"/>
          </w:tcPr>
          <w:p w:rsidR="0003185B" w:rsidRPr="00BF1580" w:rsidRDefault="008716E9" w:rsidP="00BF1580">
            <w:pPr>
              <w:jc w:val="center"/>
              <w:rPr>
                <w:rFonts w:asciiTheme="majorHAnsi" w:hAnsiTheme="majorHAnsi"/>
                <w:sz w:val="20"/>
              </w:rPr>
            </w:pPr>
            <w:proofErr w:type="gramStart"/>
            <w:r>
              <w:rPr>
                <w:rFonts w:asciiTheme="majorHAnsi" w:hAnsiTheme="majorHAnsi"/>
                <w:sz w:val="20"/>
              </w:rPr>
              <w:t>x</w:t>
            </w:r>
            <w:proofErr w:type="gramEnd"/>
          </w:p>
        </w:tc>
        <w:tc>
          <w:tcPr>
            <w:tcW w:w="1168" w:type="dxa"/>
            <w:vAlign w:val="center"/>
          </w:tcPr>
          <w:p w:rsidR="0003185B" w:rsidRPr="00BF1580" w:rsidRDefault="008716E9" w:rsidP="00BF1580">
            <w:pPr>
              <w:jc w:val="center"/>
              <w:rPr>
                <w:rFonts w:asciiTheme="majorHAnsi" w:hAnsiTheme="majorHAnsi"/>
                <w:sz w:val="20"/>
              </w:rPr>
            </w:pPr>
            <w:proofErr w:type="gramStart"/>
            <w:r>
              <w:rPr>
                <w:rFonts w:asciiTheme="majorHAnsi" w:hAnsiTheme="majorHAnsi"/>
                <w:sz w:val="20"/>
              </w:rPr>
              <w:t>x</w:t>
            </w:r>
            <w:proofErr w:type="gramEnd"/>
          </w:p>
        </w:tc>
      </w:tr>
      <w:tr w:rsidR="00593AFE" w:rsidTr="00ED2322">
        <w:tc>
          <w:tcPr>
            <w:tcW w:w="1246" w:type="dxa"/>
          </w:tcPr>
          <w:p w:rsidR="0003185B" w:rsidRPr="001A22DF" w:rsidRDefault="00DB1462">
            <w:pPr>
              <w:rPr>
                <w:rFonts w:asciiTheme="majorHAnsi" w:hAnsiTheme="majorHAnsi"/>
                <w:sz w:val="20"/>
              </w:rPr>
            </w:pPr>
            <w:r>
              <w:rPr>
                <w:rFonts w:asciiTheme="majorHAnsi" w:hAnsiTheme="majorHAnsi"/>
                <w:sz w:val="20"/>
              </w:rPr>
              <w:t>Kirkland, Anita Brooks</w:t>
            </w:r>
          </w:p>
        </w:tc>
        <w:tc>
          <w:tcPr>
            <w:tcW w:w="1547" w:type="dxa"/>
          </w:tcPr>
          <w:p w:rsidR="0003185B" w:rsidRPr="001A22DF" w:rsidRDefault="00DB1462">
            <w:pPr>
              <w:rPr>
                <w:rFonts w:asciiTheme="majorHAnsi" w:hAnsiTheme="majorHAnsi"/>
                <w:sz w:val="20"/>
              </w:rPr>
            </w:pPr>
            <w:r>
              <w:rPr>
                <w:rFonts w:asciiTheme="majorHAnsi" w:hAnsiTheme="majorHAnsi"/>
                <w:sz w:val="20"/>
              </w:rPr>
              <w:t xml:space="preserve">Inquiry </w:t>
            </w:r>
            <w:proofErr w:type="spellStart"/>
            <w:r>
              <w:rPr>
                <w:rFonts w:asciiTheme="majorHAnsi" w:hAnsiTheme="majorHAnsi"/>
                <w:sz w:val="20"/>
              </w:rPr>
              <w:t>Untethered</w:t>
            </w:r>
            <w:proofErr w:type="spellEnd"/>
          </w:p>
        </w:tc>
        <w:tc>
          <w:tcPr>
            <w:tcW w:w="725" w:type="dxa"/>
            <w:vAlign w:val="center"/>
          </w:tcPr>
          <w:p w:rsidR="0003185B" w:rsidRPr="001A22DF" w:rsidRDefault="00DB1462" w:rsidP="00BF1580">
            <w:pPr>
              <w:jc w:val="center"/>
              <w:rPr>
                <w:rFonts w:asciiTheme="majorHAnsi" w:hAnsiTheme="majorHAnsi"/>
                <w:sz w:val="20"/>
              </w:rPr>
            </w:pPr>
            <w:r>
              <w:rPr>
                <w:rFonts w:asciiTheme="majorHAnsi" w:hAnsiTheme="majorHAnsi"/>
                <w:sz w:val="20"/>
              </w:rPr>
              <w:t>2012</w:t>
            </w:r>
          </w:p>
        </w:tc>
        <w:tc>
          <w:tcPr>
            <w:tcW w:w="1189" w:type="dxa"/>
            <w:vAlign w:val="center"/>
          </w:tcPr>
          <w:p w:rsidR="0003185B" w:rsidRPr="001A22DF" w:rsidRDefault="00DB1462" w:rsidP="001A22DF">
            <w:pPr>
              <w:jc w:val="center"/>
              <w:rPr>
                <w:rFonts w:asciiTheme="majorHAnsi" w:hAnsiTheme="majorHAnsi"/>
                <w:sz w:val="20"/>
              </w:rPr>
            </w:pPr>
            <w:proofErr w:type="gramStart"/>
            <w:r>
              <w:rPr>
                <w:rFonts w:asciiTheme="majorHAnsi" w:hAnsiTheme="majorHAnsi"/>
                <w:sz w:val="20"/>
              </w:rPr>
              <w:t>x</w:t>
            </w:r>
            <w:proofErr w:type="gramEnd"/>
          </w:p>
        </w:tc>
        <w:tc>
          <w:tcPr>
            <w:tcW w:w="1173" w:type="dxa"/>
            <w:vAlign w:val="center"/>
          </w:tcPr>
          <w:p w:rsidR="0003185B" w:rsidRPr="001A22DF" w:rsidRDefault="00DB1462" w:rsidP="001A22DF">
            <w:pPr>
              <w:jc w:val="center"/>
              <w:rPr>
                <w:rFonts w:asciiTheme="majorHAnsi" w:hAnsiTheme="majorHAnsi"/>
                <w:sz w:val="20"/>
              </w:rPr>
            </w:pPr>
            <w:proofErr w:type="gramStart"/>
            <w:r>
              <w:rPr>
                <w:rFonts w:asciiTheme="majorHAnsi" w:hAnsiTheme="majorHAnsi"/>
                <w:sz w:val="20"/>
              </w:rPr>
              <w:t>x</w:t>
            </w:r>
            <w:proofErr w:type="gramEnd"/>
          </w:p>
        </w:tc>
        <w:tc>
          <w:tcPr>
            <w:tcW w:w="1345" w:type="dxa"/>
            <w:vAlign w:val="center"/>
          </w:tcPr>
          <w:p w:rsidR="0003185B" w:rsidRPr="00BF1580" w:rsidRDefault="00DB1462" w:rsidP="00BF1580">
            <w:pPr>
              <w:jc w:val="center"/>
              <w:rPr>
                <w:rFonts w:asciiTheme="majorHAnsi" w:hAnsiTheme="majorHAnsi"/>
                <w:sz w:val="20"/>
              </w:rPr>
            </w:pPr>
            <w:proofErr w:type="gramStart"/>
            <w:r>
              <w:rPr>
                <w:rFonts w:asciiTheme="majorHAnsi" w:hAnsiTheme="majorHAnsi"/>
                <w:sz w:val="20"/>
              </w:rPr>
              <w:t>x</w:t>
            </w:r>
            <w:proofErr w:type="gramEnd"/>
          </w:p>
        </w:tc>
        <w:tc>
          <w:tcPr>
            <w:tcW w:w="1183" w:type="dxa"/>
            <w:vAlign w:val="center"/>
          </w:tcPr>
          <w:p w:rsidR="0003185B" w:rsidRPr="00BF1580" w:rsidRDefault="00DB1462" w:rsidP="00BF1580">
            <w:pPr>
              <w:jc w:val="center"/>
              <w:rPr>
                <w:rFonts w:asciiTheme="majorHAnsi" w:hAnsiTheme="majorHAnsi"/>
                <w:sz w:val="20"/>
              </w:rPr>
            </w:pPr>
            <w:proofErr w:type="gramStart"/>
            <w:r>
              <w:rPr>
                <w:rFonts w:asciiTheme="majorHAnsi" w:hAnsiTheme="majorHAnsi"/>
                <w:sz w:val="20"/>
              </w:rPr>
              <w:t>x</w:t>
            </w:r>
            <w:proofErr w:type="gramEnd"/>
          </w:p>
        </w:tc>
        <w:tc>
          <w:tcPr>
            <w:tcW w:w="1168" w:type="dxa"/>
            <w:vAlign w:val="center"/>
          </w:tcPr>
          <w:p w:rsidR="0003185B" w:rsidRPr="00BF1580" w:rsidRDefault="00DB1462" w:rsidP="00BF1580">
            <w:pPr>
              <w:jc w:val="center"/>
              <w:rPr>
                <w:rFonts w:asciiTheme="majorHAnsi" w:hAnsiTheme="majorHAnsi"/>
                <w:sz w:val="20"/>
              </w:rPr>
            </w:pPr>
            <w:proofErr w:type="gramStart"/>
            <w:r>
              <w:rPr>
                <w:rFonts w:asciiTheme="majorHAnsi" w:hAnsiTheme="majorHAnsi"/>
                <w:sz w:val="20"/>
              </w:rPr>
              <w:t>x</w:t>
            </w:r>
            <w:proofErr w:type="gramEnd"/>
          </w:p>
        </w:tc>
      </w:tr>
      <w:tr w:rsidR="00593AFE" w:rsidTr="00ED2322">
        <w:tc>
          <w:tcPr>
            <w:tcW w:w="1246" w:type="dxa"/>
          </w:tcPr>
          <w:p w:rsidR="0003185B" w:rsidRPr="001A22DF" w:rsidRDefault="002A3F54">
            <w:pPr>
              <w:rPr>
                <w:rFonts w:asciiTheme="majorHAnsi" w:hAnsiTheme="majorHAnsi"/>
                <w:sz w:val="20"/>
              </w:rPr>
            </w:pPr>
            <w:proofErr w:type="spellStart"/>
            <w:r w:rsidRPr="002A3F54">
              <w:rPr>
                <w:rFonts w:asciiTheme="majorHAnsi" w:hAnsiTheme="majorHAnsi"/>
                <w:sz w:val="20"/>
              </w:rPr>
              <w:t>Koechlin</w:t>
            </w:r>
            <w:proofErr w:type="spellEnd"/>
            <w:r>
              <w:rPr>
                <w:rFonts w:asciiTheme="majorHAnsi" w:hAnsiTheme="majorHAnsi"/>
                <w:sz w:val="20"/>
              </w:rPr>
              <w:t>, Carol</w:t>
            </w:r>
            <w:r w:rsidRPr="002A3F54">
              <w:rPr>
                <w:rFonts w:asciiTheme="majorHAnsi" w:hAnsiTheme="majorHAnsi"/>
                <w:sz w:val="20"/>
              </w:rPr>
              <w:t xml:space="preserve">; </w:t>
            </w:r>
            <w:proofErr w:type="spellStart"/>
            <w:r w:rsidRPr="002A3F54">
              <w:rPr>
                <w:rFonts w:asciiTheme="majorHAnsi" w:hAnsiTheme="majorHAnsi"/>
                <w:sz w:val="20"/>
              </w:rPr>
              <w:t>Zwaan</w:t>
            </w:r>
            <w:proofErr w:type="spellEnd"/>
            <w:r>
              <w:rPr>
                <w:rFonts w:asciiTheme="majorHAnsi" w:hAnsiTheme="majorHAnsi"/>
                <w:sz w:val="20"/>
              </w:rPr>
              <w:t>, Sandi</w:t>
            </w:r>
            <w:r w:rsidRPr="002A3F54">
              <w:rPr>
                <w:rFonts w:asciiTheme="majorHAnsi" w:hAnsiTheme="majorHAnsi"/>
                <w:sz w:val="20"/>
              </w:rPr>
              <w:t xml:space="preserve"> and </w:t>
            </w:r>
            <w:proofErr w:type="spellStart"/>
            <w:r w:rsidRPr="002A3F54">
              <w:rPr>
                <w:rFonts w:asciiTheme="majorHAnsi" w:hAnsiTheme="majorHAnsi"/>
                <w:sz w:val="20"/>
              </w:rPr>
              <w:t>Loertscher</w:t>
            </w:r>
            <w:proofErr w:type="spellEnd"/>
            <w:r>
              <w:rPr>
                <w:rFonts w:asciiTheme="majorHAnsi" w:hAnsiTheme="majorHAnsi"/>
                <w:sz w:val="20"/>
              </w:rPr>
              <w:t>, David V.</w:t>
            </w:r>
          </w:p>
        </w:tc>
        <w:tc>
          <w:tcPr>
            <w:tcW w:w="1547" w:type="dxa"/>
          </w:tcPr>
          <w:p w:rsidR="0003185B" w:rsidRPr="002A3F54" w:rsidRDefault="002A3F54">
            <w:pPr>
              <w:rPr>
                <w:rFonts w:asciiTheme="majorHAnsi" w:hAnsiTheme="majorHAnsi"/>
                <w:sz w:val="20"/>
              </w:rPr>
            </w:pPr>
            <w:r>
              <w:rPr>
                <w:rFonts w:asciiTheme="majorHAnsi" w:hAnsiTheme="majorHAnsi"/>
                <w:sz w:val="20"/>
              </w:rPr>
              <w:t>The Time is Now: Transform Your School Library Into a Learning C</w:t>
            </w:r>
            <w:r w:rsidRPr="002A3F54">
              <w:rPr>
                <w:rFonts w:asciiTheme="majorHAnsi" w:hAnsiTheme="majorHAnsi"/>
                <w:sz w:val="20"/>
              </w:rPr>
              <w:t>ommons </w:t>
            </w:r>
          </w:p>
        </w:tc>
        <w:tc>
          <w:tcPr>
            <w:tcW w:w="725" w:type="dxa"/>
            <w:vAlign w:val="center"/>
          </w:tcPr>
          <w:p w:rsidR="0003185B" w:rsidRPr="001A22DF" w:rsidRDefault="002A3F54" w:rsidP="00BF1580">
            <w:pPr>
              <w:jc w:val="center"/>
              <w:rPr>
                <w:rFonts w:asciiTheme="majorHAnsi" w:hAnsiTheme="majorHAnsi"/>
                <w:sz w:val="20"/>
              </w:rPr>
            </w:pPr>
            <w:r>
              <w:rPr>
                <w:rFonts w:asciiTheme="majorHAnsi" w:hAnsiTheme="majorHAnsi"/>
                <w:sz w:val="20"/>
              </w:rPr>
              <w:t>2008</w:t>
            </w:r>
          </w:p>
        </w:tc>
        <w:tc>
          <w:tcPr>
            <w:tcW w:w="1189" w:type="dxa"/>
            <w:vAlign w:val="center"/>
          </w:tcPr>
          <w:p w:rsidR="0003185B" w:rsidRPr="001A22DF" w:rsidRDefault="002A3F54" w:rsidP="001A22DF">
            <w:pPr>
              <w:jc w:val="center"/>
              <w:rPr>
                <w:rFonts w:asciiTheme="majorHAnsi" w:hAnsiTheme="majorHAnsi"/>
                <w:sz w:val="20"/>
              </w:rPr>
            </w:pPr>
            <w:proofErr w:type="gramStart"/>
            <w:r>
              <w:rPr>
                <w:rFonts w:asciiTheme="majorHAnsi" w:hAnsiTheme="majorHAnsi"/>
                <w:sz w:val="20"/>
              </w:rPr>
              <w:t>x</w:t>
            </w:r>
            <w:proofErr w:type="gramEnd"/>
          </w:p>
        </w:tc>
        <w:tc>
          <w:tcPr>
            <w:tcW w:w="1173" w:type="dxa"/>
            <w:vAlign w:val="center"/>
          </w:tcPr>
          <w:p w:rsidR="0003185B" w:rsidRPr="001A22DF" w:rsidRDefault="0003185B" w:rsidP="001A22DF">
            <w:pPr>
              <w:jc w:val="center"/>
              <w:rPr>
                <w:rFonts w:asciiTheme="majorHAnsi" w:hAnsiTheme="majorHAnsi"/>
                <w:sz w:val="20"/>
              </w:rPr>
            </w:pPr>
          </w:p>
        </w:tc>
        <w:tc>
          <w:tcPr>
            <w:tcW w:w="1345" w:type="dxa"/>
            <w:vAlign w:val="center"/>
          </w:tcPr>
          <w:p w:rsidR="0003185B" w:rsidRPr="00BF1580" w:rsidRDefault="002A3F54" w:rsidP="00BF1580">
            <w:pPr>
              <w:jc w:val="center"/>
              <w:rPr>
                <w:rFonts w:asciiTheme="majorHAnsi" w:hAnsiTheme="majorHAnsi"/>
                <w:sz w:val="20"/>
              </w:rPr>
            </w:pPr>
            <w:proofErr w:type="gramStart"/>
            <w:r>
              <w:rPr>
                <w:rFonts w:asciiTheme="majorHAnsi" w:hAnsiTheme="majorHAnsi"/>
                <w:sz w:val="20"/>
              </w:rPr>
              <w:t>x</w:t>
            </w:r>
            <w:proofErr w:type="gramEnd"/>
          </w:p>
        </w:tc>
        <w:tc>
          <w:tcPr>
            <w:tcW w:w="1183" w:type="dxa"/>
            <w:vAlign w:val="center"/>
          </w:tcPr>
          <w:p w:rsidR="0003185B" w:rsidRPr="00BF1580" w:rsidRDefault="0003185B" w:rsidP="00BF1580">
            <w:pPr>
              <w:jc w:val="center"/>
              <w:rPr>
                <w:rFonts w:asciiTheme="majorHAnsi" w:hAnsiTheme="majorHAnsi"/>
                <w:sz w:val="20"/>
              </w:rPr>
            </w:pPr>
          </w:p>
        </w:tc>
        <w:tc>
          <w:tcPr>
            <w:tcW w:w="1168" w:type="dxa"/>
            <w:vAlign w:val="center"/>
          </w:tcPr>
          <w:p w:rsidR="0003185B" w:rsidRPr="00BF1580" w:rsidRDefault="002A3F54" w:rsidP="00BF1580">
            <w:pPr>
              <w:jc w:val="center"/>
              <w:rPr>
                <w:rFonts w:asciiTheme="majorHAnsi" w:hAnsiTheme="majorHAnsi"/>
                <w:sz w:val="20"/>
              </w:rPr>
            </w:pPr>
            <w:proofErr w:type="gramStart"/>
            <w:r>
              <w:rPr>
                <w:rFonts w:asciiTheme="majorHAnsi" w:hAnsiTheme="majorHAnsi"/>
                <w:sz w:val="20"/>
              </w:rPr>
              <w:t>x</w:t>
            </w:r>
            <w:proofErr w:type="gramEnd"/>
          </w:p>
        </w:tc>
      </w:tr>
      <w:tr w:rsidR="00593AFE" w:rsidTr="00ED2322">
        <w:tc>
          <w:tcPr>
            <w:tcW w:w="1246" w:type="dxa"/>
          </w:tcPr>
          <w:p w:rsidR="0003185B" w:rsidRPr="001A22DF" w:rsidRDefault="00ED2322">
            <w:pPr>
              <w:rPr>
                <w:rFonts w:asciiTheme="majorHAnsi" w:hAnsiTheme="majorHAnsi"/>
                <w:sz w:val="20"/>
              </w:rPr>
            </w:pPr>
            <w:r>
              <w:rPr>
                <w:rFonts w:asciiTheme="majorHAnsi" w:hAnsiTheme="majorHAnsi"/>
                <w:sz w:val="20"/>
              </w:rPr>
              <w:t xml:space="preserve">Lance, Keith and </w:t>
            </w:r>
            <w:proofErr w:type="spellStart"/>
            <w:r>
              <w:rPr>
                <w:rFonts w:asciiTheme="majorHAnsi" w:hAnsiTheme="majorHAnsi"/>
                <w:sz w:val="20"/>
              </w:rPr>
              <w:t>Hofschire</w:t>
            </w:r>
            <w:proofErr w:type="spellEnd"/>
            <w:r>
              <w:rPr>
                <w:rFonts w:asciiTheme="majorHAnsi" w:hAnsiTheme="majorHAnsi"/>
                <w:sz w:val="20"/>
              </w:rPr>
              <w:t>, Linda</w:t>
            </w:r>
          </w:p>
        </w:tc>
        <w:tc>
          <w:tcPr>
            <w:tcW w:w="1547" w:type="dxa"/>
          </w:tcPr>
          <w:p w:rsidR="0003185B" w:rsidRPr="00ED2322" w:rsidRDefault="00ED2322">
            <w:pPr>
              <w:rPr>
                <w:rFonts w:asciiTheme="majorHAnsi" w:hAnsiTheme="majorHAnsi"/>
                <w:sz w:val="20"/>
              </w:rPr>
            </w:pPr>
            <w:r w:rsidRPr="00ED2322">
              <w:rPr>
                <w:rFonts w:asciiTheme="majorHAnsi" w:hAnsiTheme="majorHAnsi"/>
                <w:iCs/>
                <w:sz w:val="20"/>
              </w:rPr>
              <w:t>Change in School Librarian Staffing Linked with Change in CSAP Reading Performance, 2005 to 2011</w:t>
            </w:r>
            <w:r w:rsidRPr="00ED2322">
              <w:rPr>
                <w:rFonts w:asciiTheme="majorHAnsi" w:hAnsiTheme="majorHAnsi"/>
                <w:sz w:val="20"/>
              </w:rPr>
              <w:t>.</w:t>
            </w:r>
          </w:p>
        </w:tc>
        <w:tc>
          <w:tcPr>
            <w:tcW w:w="725" w:type="dxa"/>
            <w:vAlign w:val="center"/>
          </w:tcPr>
          <w:p w:rsidR="0003185B" w:rsidRPr="001A22DF" w:rsidRDefault="00ED2322" w:rsidP="00BF1580">
            <w:pPr>
              <w:jc w:val="center"/>
              <w:rPr>
                <w:rFonts w:asciiTheme="majorHAnsi" w:hAnsiTheme="majorHAnsi"/>
                <w:sz w:val="20"/>
              </w:rPr>
            </w:pPr>
            <w:r>
              <w:rPr>
                <w:rFonts w:asciiTheme="majorHAnsi" w:hAnsiTheme="majorHAnsi"/>
                <w:sz w:val="20"/>
              </w:rPr>
              <w:t>2012</w:t>
            </w:r>
          </w:p>
        </w:tc>
        <w:tc>
          <w:tcPr>
            <w:tcW w:w="1189" w:type="dxa"/>
            <w:vAlign w:val="center"/>
          </w:tcPr>
          <w:p w:rsidR="0003185B" w:rsidRPr="001A22DF" w:rsidRDefault="00ED2322" w:rsidP="001A22DF">
            <w:pPr>
              <w:jc w:val="center"/>
              <w:rPr>
                <w:rFonts w:asciiTheme="majorHAnsi" w:hAnsiTheme="majorHAnsi"/>
                <w:sz w:val="20"/>
              </w:rPr>
            </w:pPr>
            <w:proofErr w:type="gramStart"/>
            <w:r>
              <w:rPr>
                <w:rFonts w:asciiTheme="majorHAnsi" w:hAnsiTheme="majorHAnsi"/>
                <w:sz w:val="20"/>
              </w:rPr>
              <w:t>x</w:t>
            </w:r>
            <w:proofErr w:type="gramEnd"/>
          </w:p>
        </w:tc>
        <w:tc>
          <w:tcPr>
            <w:tcW w:w="1173" w:type="dxa"/>
            <w:vAlign w:val="center"/>
          </w:tcPr>
          <w:p w:rsidR="0003185B" w:rsidRPr="001A22DF" w:rsidRDefault="0003185B" w:rsidP="001A22DF">
            <w:pPr>
              <w:jc w:val="center"/>
              <w:rPr>
                <w:rFonts w:asciiTheme="majorHAnsi" w:hAnsiTheme="majorHAnsi"/>
                <w:sz w:val="20"/>
              </w:rPr>
            </w:pPr>
          </w:p>
        </w:tc>
        <w:tc>
          <w:tcPr>
            <w:tcW w:w="1345" w:type="dxa"/>
            <w:vAlign w:val="center"/>
          </w:tcPr>
          <w:p w:rsidR="0003185B" w:rsidRPr="00BF1580" w:rsidRDefault="00ED2322" w:rsidP="00BF1580">
            <w:pPr>
              <w:jc w:val="center"/>
              <w:rPr>
                <w:rFonts w:asciiTheme="majorHAnsi" w:hAnsiTheme="majorHAnsi"/>
                <w:sz w:val="20"/>
              </w:rPr>
            </w:pPr>
            <w:proofErr w:type="gramStart"/>
            <w:r>
              <w:rPr>
                <w:rFonts w:asciiTheme="majorHAnsi" w:hAnsiTheme="majorHAnsi"/>
                <w:sz w:val="20"/>
              </w:rPr>
              <w:t>x</w:t>
            </w:r>
            <w:proofErr w:type="gramEnd"/>
          </w:p>
        </w:tc>
        <w:tc>
          <w:tcPr>
            <w:tcW w:w="1183" w:type="dxa"/>
            <w:vAlign w:val="center"/>
          </w:tcPr>
          <w:p w:rsidR="0003185B" w:rsidRPr="00BF1580" w:rsidRDefault="0003185B" w:rsidP="00BF1580">
            <w:pPr>
              <w:jc w:val="center"/>
              <w:rPr>
                <w:rFonts w:asciiTheme="majorHAnsi" w:hAnsiTheme="majorHAnsi"/>
                <w:sz w:val="20"/>
              </w:rPr>
            </w:pPr>
          </w:p>
        </w:tc>
        <w:tc>
          <w:tcPr>
            <w:tcW w:w="1168" w:type="dxa"/>
            <w:vAlign w:val="center"/>
          </w:tcPr>
          <w:p w:rsidR="0003185B" w:rsidRPr="00BF1580" w:rsidRDefault="0003185B" w:rsidP="00BF1580">
            <w:pPr>
              <w:jc w:val="center"/>
              <w:rPr>
                <w:rFonts w:asciiTheme="majorHAnsi" w:hAnsiTheme="majorHAnsi"/>
                <w:sz w:val="20"/>
              </w:rPr>
            </w:pPr>
          </w:p>
        </w:tc>
      </w:tr>
    </w:tbl>
    <w:p w:rsidR="00AD771D" w:rsidRDefault="00AD771D">
      <w:pPr>
        <w:rPr>
          <w:b/>
        </w:rPr>
      </w:pPr>
    </w:p>
    <w:p w:rsidR="00433941" w:rsidRPr="00AD771D" w:rsidRDefault="00AD771D">
      <w:r w:rsidRPr="00AD771D">
        <w:t>After completing the readings, it has become clear that while the Common Core aligns quite well with the expertise trained librarians already have, what librarians are trained to do</w:t>
      </w:r>
      <w:r w:rsidR="00A47479" w:rsidRPr="00A47479">
        <w:t xml:space="preserve"> </w:t>
      </w:r>
      <w:r w:rsidR="00A47479" w:rsidRPr="00AD771D">
        <w:t>is not well-publicized</w:t>
      </w:r>
      <w:r w:rsidRPr="00AD771D">
        <w:t>. Therefore, we must promote the natural resource of librarians as leaders, facilitators, collaborators, and instructors on the standards and project-based learning.</w:t>
      </w:r>
      <w:r w:rsidR="00A47479">
        <w:t xml:space="preserve"> I’d like my research to center on the teacher’s knowledge of the expertise of a school librarian around the Common Core and to show an increase in student achievement through a collaborative project</w:t>
      </w:r>
      <w:r w:rsidR="00ED2322">
        <w:t xml:space="preserve"> – in particular using the Knowledge Building Center model</w:t>
      </w:r>
      <w:r w:rsidR="00A47479">
        <w:t>.</w:t>
      </w:r>
    </w:p>
    <w:sectPr w:rsidR="00433941" w:rsidRPr="00AD771D" w:rsidSect="0003185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3941"/>
    <w:rsid w:val="0003185B"/>
    <w:rsid w:val="0014430B"/>
    <w:rsid w:val="00186ABF"/>
    <w:rsid w:val="001A22DF"/>
    <w:rsid w:val="00252043"/>
    <w:rsid w:val="002A3F54"/>
    <w:rsid w:val="0032703A"/>
    <w:rsid w:val="004049D6"/>
    <w:rsid w:val="00433941"/>
    <w:rsid w:val="00531957"/>
    <w:rsid w:val="00593AFE"/>
    <w:rsid w:val="00721A80"/>
    <w:rsid w:val="007D0F2B"/>
    <w:rsid w:val="00833A08"/>
    <w:rsid w:val="00842D81"/>
    <w:rsid w:val="008716E9"/>
    <w:rsid w:val="00A47479"/>
    <w:rsid w:val="00AD771D"/>
    <w:rsid w:val="00AE68A2"/>
    <w:rsid w:val="00B827EB"/>
    <w:rsid w:val="00BF1580"/>
    <w:rsid w:val="00D8072A"/>
    <w:rsid w:val="00D84086"/>
    <w:rsid w:val="00DB1462"/>
    <w:rsid w:val="00EA77D1"/>
    <w:rsid w:val="00ED2322"/>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2D6A"/>
  </w:style>
  <w:style w:type="paragraph" w:styleId="Heading2">
    <w:name w:val="heading 2"/>
    <w:basedOn w:val="Normal"/>
    <w:link w:val="Heading2Char"/>
    <w:uiPriority w:val="9"/>
    <w:rsid w:val="008716E9"/>
    <w:pPr>
      <w:spacing w:beforeLines="1" w:afterLines="1"/>
      <w:outlineLvl w:val="1"/>
    </w:pPr>
    <w:rPr>
      <w:rFonts w:ascii="Times" w:hAnsi="Times"/>
      <w:b/>
      <w:sz w:val="36"/>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318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716E9"/>
    <w:rPr>
      <w:rFonts w:ascii="Times" w:hAnsi="Times"/>
      <w:b/>
      <w:sz w:val="36"/>
      <w:szCs w:val="20"/>
    </w:rPr>
  </w:style>
  <w:style w:type="character" w:customStyle="1" w:styleId="apple-converted-space">
    <w:name w:val="apple-converted-space"/>
    <w:basedOn w:val="DefaultParagraphFont"/>
    <w:rsid w:val="008716E9"/>
  </w:style>
  <w:style w:type="character" w:styleId="Hyperlink">
    <w:name w:val="Hyperlink"/>
    <w:basedOn w:val="DefaultParagraphFont"/>
    <w:uiPriority w:val="99"/>
    <w:rsid w:val="008716E9"/>
    <w:rPr>
      <w:color w:val="0000FF"/>
      <w:u w:val="single"/>
    </w:rPr>
  </w:style>
  <w:style w:type="character" w:customStyle="1" w:styleId="meta-prepmeta-prep-author">
    <w:name w:val="meta-prep meta-prep-author"/>
    <w:basedOn w:val="DefaultParagraphFont"/>
    <w:rsid w:val="008716E9"/>
  </w:style>
  <w:style w:type="character" w:customStyle="1" w:styleId="entry-date">
    <w:name w:val="entry-date"/>
    <w:basedOn w:val="DefaultParagraphFont"/>
    <w:rsid w:val="008716E9"/>
  </w:style>
  <w:style w:type="character" w:customStyle="1" w:styleId="meta-sep">
    <w:name w:val="meta-sep"/>
    <w:basedOn w:val="DefaultParagraphFont"/>
    <w:rsid w:val="008716E9"/>
  </w:style>
  <w:style w:type="character" w:customStyle="1" w:styleId="authorvcard">
    <w:name w:val="author vcard"/>
    <w:basedOn w:val="DefaultParagraphFont"/>
    <w:rsid w:val="008716E9"/>
  </w:style>
  <w:style w:type="paragraph" w:styleId="NormalWeb">
    <w:name w:val="Normal (Web)"/>
    <w:basedOn w:val="Normal"/>
    <w:rsid w:val="002A3F5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2336164">
      <w:bodyDiv w:val="1"/>
      <w:marLeft w:val="0"/>
      <w:marRight w:val="0"/>
      <w:marTop w:val="0"/>
      <w:marBottom w:val="0"/>
      <w:divBdr>
        <w:top w:val="none" w:sz="0" w:space="0" w:color="auto"/>
        <w:left w:val="none" w:sz="0" w:space="0" w:color="auto"/>
        <w:bottom w:val="none" w:sz="0" w:space="0" w:color="auto"/>
        <w:right w:val="none" w:sz="0" w:space="0" w:color="auto"/>
      </w:divBdr>
    </w:div>
    <w:div w:id="79102314">
      <w:bodyDiv w:val="1"/>
      <w:marLeft w:val="0"/>
      <w:marRight w:val="0"/>
      <w:marTop w:val="0"/>
      <w:marBottom w:val="0"/>
      <w:divBdr>
        <w:top w:val="none" w:sz="0" w:space="0" w:color="auto"/>
        <w:left w:val="none" w:sz="0" w:space="0" w:color="auto"/>
        <w:bottom w:val="none" w:sz="0" w:space="0" w:color="auto"/>
        <w:right w:val="none" w:sz="0" w:space="0" w:color="auto"/>
      </w:divBdr>
    </w:div>
    <w:div w:id="85151928">
      <w:bodyDiv w:val="1"/>
      <w:marLeft w:val="0"/>
      <w:marRight w:val="0"/>
      <w:marTop w:val="0"/>
      <w:marBottom w:val="0"/>
      <w:divBdr>
        <w:top w:val="none" w:sz="0" w:space="0" w:color="auto"/>
        <w:left w:val="none" w:sz="0" w:space="0" w:color="auto"/>
        <w:bottom w:val="none" w:sz="0" w:space="0" w:color="auto"/>
        <w:right w:val="none" w:sz="0" w:space="0" w:color="auto"/>
      </w:divBdr>
    </w:div>
    <w:div w:id="97724266">
      <w:bodyDiv w:val="1"/>
      <w:marLeft w:val="0"/>
      <w:marRight w:val="0"/>
      <w:marTop w:val="0"/>
      <w:marBottom w:val="0"/>
      <w:divBdr>
        <w:top w:val="none" w:sz="0" w:space="0" w:color="auto"/>
        <w:left w:val="none" w:sz="0" w:space="0" w:color="auto"/>
        <w:bottom w:val="none" w:sz="0" w:space="0" w:color="auto"/>
        <w:right w:val="none" w:sz="0" w:space="0" w:color="auto"/>
      </w:divBdr>
    </w:div>
    <w:div w:id="132984865">
      <w:bodyDiv w:val="1"/>
      <w:marLeft w:val="0"/>
      <w:marRight w:val="0"/>
      <w:marTop w:val="0"/>
      <w:marBottom w:val="0"/>
      <w:divBdr>
        <w:top w:val="none" w:sz="0" w:space="0" w:color="auto"/>
        <w:left w:val="none" w:sz="0" w:space="0" w:color="auto"/>
        <w:bottom w:val="none" w:sz="0" w:space="0" w:color="auto"/>
        <w:right w:val="none" w:sz="0" w:space="0" w:color="auto"/>
      </w:divBdr>
    </w:div>
    <w:div w:id="277951582">
      <w:bodyDiv w:val="1"/>
      <w:marLeft w:val="0"/>
      <w:marRight w:val="0"/>
      <w:marTop w:val="0"/>
      <w:marBottom w:val="0"/>
      <w:divBdr>
        <w:top w:val="none" w:sz="0" w:space="0" w:color="auto"/>
        <w:left w:val="none" w:sz="0" w:space="0" w:color="auto"/>
        <w:bottom w:val="none" w:sz="0" w:space="0" w:color="auto"/>
        <w:right w:val="none" w:sz="0" w:space="0" w:color="auto"/>
      </w:divBdr>
    </w:div>
    <w:div w:id="292298188">
      <w:bodyDiv w:val="1"/>
      <w:marLeft w:val="0"/>
      <w:marRight w:val="0"/>
      <w:marTop w:val="0"/>
      <w:marBottom w:val="0"/>
      <w:divBdr>
        <w:top w:val="none" w:sz="0" w:space="0" w:color="auto"/>
        <w:left w:val="none" w:sz="0" w:space="0" w:color="auto"/>
        <w:bottom w:val="none" w:sz="0" w:space="0" w:color="auto"/>
        <w:right w:val="none" w:sz="0" w:space="0" w:color="auto"/>
      </w:divBdr>
    </w:div>
    <w:div w:id="424420086">
      <w:bodyDiv w:val="1"/>
      <w:marLeft w:val="0"/>
      <w:marRight w:val="0"/>
      <w:marTop w:val="0"/>
      <w:marBottom w:val="0"/>
      <w:divBdr>
        <w:top w:val="none" w:sz="0" w:space="0" w:color="auto"/>
        <w:left w:val="none" w:sz="0" w:space="0" w:color="auto"/>
        <w:bottom w:val="none" w:sz="0" w:space="0" w:color="auto"/>
        <w:right w:val="none" w:sz="0" w:space="0" w:color="auto"/>
      </w:divBdr>
      <w:divsChild>
        <w:div w:id="460611851">
          <w:marLeft w:val="0"/>
          <w:marRight w:val="0"/>
          <w:marTop w:val="0"/>
          <w:marBottom w:val="0"/>
          <w:divBdr>
            <w:top w:val="none" w:sz="0" w:space="0" w:color="auto"/>
            <w:left w:val="none" w:sz="0" w:space="0" w:color="auto"/>
            <w:bottom w:val="none" w:sz="0" w:space="0" w:color="auto"/>
            <w:right w:val="none" w:sz="0" w:space="0" w:color="auto"/>
          </w:divBdr>
        </w:div>
      </w:divsChild>
    </w:div>
    <w:div w:id="467163421">
      <w:bodyDiv w:val="1"/>
      <w:marLeft w:val="0"/>
      <w:marRight w:val="0"/>
      <w:marTop w:val="0"/>
      <w:marBottom w:val="0"/>
      <w:divBdr>
        <w:top w:val="none" w:sz="0" w:space="0" w:color="auto"/>
        <w:left w:val="none" w:sz="0" w:space="0" w:color="auto"/>
        <w:bottom w:val="none" w:sz="0" w:space="0" w:color="auto"/>
        <w:right w:val="none" w:sz="0" w:space="0" w:color="auto"/>
      </w:divBdr>
    </w:div>
    <w:div w:id="483931228">
      <w:bodyDiv w:val="1"/>
      <w:marLeft w:val="0"/>
      <w:marRight w:val="0"/>
      <w:marTop w:val="0"/>
      <w:marBottom w:val="0"/>
      <w:divBdr>
        <w:top w:val="none" w:sz="0" w:space="0" w:color="auto"/>
        <w:left w:val="none" w:sz="0" w:space="0" w:color="auto"/>
        <w:bottom w:val="none" w:sz="0" w:space="0" w:color="auto"/>
        <w:right w:val="none" w:sz="0" w:space="0" w:color="auto"/>
      </w:divBdr>
    </w:div>
    <w:div w:id="539561637">
      <w:bodyDiv w:val="1"/>
      <w:marLeft w:val="0"/>
      <w:marRight w:val="0"/>
      <w:marTop w:val="0"/>
      <w:marBottom w:val="0"/>
      <w:divBdr>
        <w:top w:val="none" w:sz="0" w:space="0" w:color="auto"/>
        <w:left w:val="none" w:sz="0" w:space="0" w:color="auto"/>
        <w:bottom w:val="none" w:sz="0" w:space="0" w:color="auto"/>
        <w:right w:val="none" w:sz="0" w:space="0" w:color="auto"/>
      </w:divBdr>
    </w:div>
    <w:div w:id="564416713">
      <w:bodyDiv w:val="1"/>
      <w:marLeft w:val="0"/>
      <w:marRight w:val="0"/>
      <w:marTop w:val="0"/>
      <w:marBottom w:val="0"/>
      <w:divBdr>
        <w:top w:val="none" w:sz="0" w:space="0" w:color="auto"/>
        <w:left w:val="none" w:sz="0" w:space="0" w:color="auto"/>
        <w:bottom w:val="none" w:sz="0" w:space="0" w:color="auto"/>
        <w:right w:val="none" w:sz="0" w:space="0" w:color="auto"/>
      </w:divBdr>
    </w:div>
    <w:div w:id="597562092">
      <w:bodyDiv w:val="1"/>
      <w:marLeft w:val="0"/>
      <w:marRight w:val="0"/>
      <w:marTop w:val="0"/>
      <w:marBottom w:val="0"/>
      <w:divBdr>
        <w:top w:val="none" w:sz="0" w:space="0" w:color="auto"/>
        <w:left w:val="none" w:sz="0" w:space="0" w:color="auto"/>
        <w:bottom w:val="none" w:sz="0" w:space="0" w:color="auto"/>
        <w:right w:val="none" w:sz="0" w:space="0" w:color="auto"/>
      </w:divBdr>
    </w:div>
    <w:div w:id="647242995">
      <w:bodyDiv w:val="1"/>
      <w:marLeft w:val="0"/>
      <w:marRight w:val="0"/>
      <w:marTop w:val="0"/>
      <w:marBottom w:val="0"/>
      <w:divBdr>
        <w:top w:val="none" w:sz="0" w:space="0" w:color="auto"/>
        <w:left w:val="none" w:sz="0" w:space="0" w:color="auto"/>
        <w:bottom w:val="none" w:sz="0" w:space="0" w:color="auto"/>
        <w:right w:val="none" w:sz="0" w:space="0" w:color="auto"/>
      </w:divBdr>
    </w:div>
    <w:div w:id="658848150">
      <w:bodyDiv w:val="1"/>
      <w:marLeft w:val="0"/>
      <w:marRight w:val="0"/>
      <w:marTop w:val="0"/>
      <w:marBottom w:val="0"/>
      <w:divBdr>
        <w:top w:val="none" w:sz="0" w:space="0" w:color="auto"/>
        <w:left w:val="none" w:sz="0" w:space="0" w:color="auto"/>
        <w:bottom w:val="none" w:sz="0" w:space="0" w:color="auto"/>
        <w:right w:val="none" w:sz="0" w:space="0" w:color="auto"/>
      </w:divBdr>
    </w:div>
    <w:div w:id="688989510">
      <w:bodyDiv w:val="1"/>
      <w:marLeft w:val="0"/>
      <w:marRight w:val="0"/>
      <w:marTop w:val="0"/>
      <w:marBottom w:val="0"/>
      <w:divBdr>
        <w:top w:val="none" w:sz="0" w:space="0" w:color="auto"/>
        <w:left w:val="none" w:sz="0" w:space="0" w:color="auto"/>
        <w:bottom w:val="none" w:sz="0" w:space="0" w:color="auto"/>
        <w:right w:val="none" w:sz="0" w:space="0" w:color="auto"/>
      </w:divBdr>
    </w:div>
    <w:div w:id="698434926">
      <w:bodyDiv w:val="1"/>
      <w:marLeft w:val="0"/>
      <w:marRight w:val="0"/>
      <w:marTop w:val="0"/>
      <w:marBottom w:val="0"/>
      <w:divBdr>
        <w:top w:val="none" w:sz="0" w:space="0" w:color="auto"/>
        <w:left w:val="none" w:sz="0" w:space="0" w:color="auto"/>
        <w:bottom w:val="none" w:sz="0" w:space="0" w:color="auto"/>
        <w:right w:val="none" w:sz="0" w:space="0" w:color="auto"/>
      </w:divBdr>
    </w:div>
    <w:div w:id="737557513">
      <w:bodyDiv w:val="1"/>
      <w:marLeft w:val="0"/>
      <w:marRight w:val="0"/>
      <w:marTop w:val="0"/>
      <w:marBottom w:val="0"/>
      <w:divBdr>
        <w:top w:val="none" w:sz="0" w:space="0" w:color="auto"/>
        <w:left w:val="none" w:sz="0" w:space="0" w:color="auto"/>
        <w:bottom w:val="none" w:sz="0" w:space="0" w:color="auto"/>
        <w:right w:val="none" w:sz="0" w:space="0" w:color="auto"/>
      </w:divBdr>
    </w:div>
    <w:div w:id="808940070">
      <w:bodyDiv w:val="1"/>
      <w:marLeft w:val="0"/>
      <w:marRight w:val="0"/>
      <w:marTop w:val="0"/>
      <w:marBottom w:val="0"/>
      <w:divBdr>
        <w:top w:val="none" w:sz="0" w:space="0" w:color="auto"/>
        <w:left w:val="none" w:sz="0" w:space="0" w:color="auto"/>
        <w:bottom w:val="none" w:sz="0" w:space="0" w:color="auto"/>
        <w:right w:val="none" w:sz="0" w:space="0" w:color="auto"/>
      </w:divBdr>
    </w:div>
    <w:div w:id="830095430">
      <w:bodyDiv w:val="1"/>
      <w:marLeft w:val="0"/>
      <w:marRight w:val="0"/>
      <w:marTop w:val="0"/>
      <w:marBottom w:val="0"/>
      <w:divBdr>
        <w:top w:val="none" w:sz="0" w:space="0" w:color="auto"/>
        <w:left w:val="none" w:sz="0" w:space="0" w:color="auto"/>
        <w:bottom w:val="none" w:sz="0" w:space="0" w:color="auto"/>
        <w:right w:val="none" w:sz="0" w:space="0" w:color="auto"/>
      </w:divBdr>
    </w:div>
    <w:div w:id="831919876">
      <w:bodyDiv w:val="1"/>
      <w:marLeft w:val="0"/>
      <w:marRight w:val="0"/>
      <w:marTop w:val="0"/>
      <w:marBottom w:val="0"/>
      <w:divBdr>
        <w:top w:val="none" w:sz="0" w:space="0" w:color="auto"/>
        <w:left w:val="none" w:sz="0" w:space="0" w:color="auto"/>
        <w:bottom w:val="none" w:sz="0" w:space="0" w:color="auto"/>
        <w:right w:val="none" w:sz="0" w:space="0" w:color="auto"/>
      </w:divBdr>
    </w:div>
    <w:div w:id="852301008">
      <w:bodyDiv w:val="1"/>
      <w:marLeft w:val="0"/>
      <w:marRight w:val="0"/>
      <w:marTop w:val="0"/>
      <w:marBottom w:val="0"/>
      <w:divBdr>
        <w:top w:val="none" w:sz="0" w:space="0" w:color="auto"/>
        <w:left w:val="none" w:sz="0" w:space="0" w:color="auto"/>
        <w:bottom w:val="none" w:sz="0" w:space="0" w:color="auto"/>
        <w:right w:val="none" w:sz="0" w:space="0" w:color="auto"/>
      </w:divBdr>
    </w:div>
    <w:div w:id="889077892">
      <w:bodyDiv w:val="1"/>
      <w:marLeft w:val="0"/>
      <w:marRight w:val="0"/>
      <w:marTop w:val="0"/>
      <w:marBottom w:val="0"/>
      <w:divBdr>
        <w:top w:val="none" w:sz="0" w:space="0" w:color="auto"/>
        <w:left w:val="none" w:sz="0" w:space="0" w:color="auto"/>
        <w:bottom w:val="none" w:sz="0" w:space="0" w:color="auto"/>
        <w:right w:val="none" w:sz="0" w:space="0" w:color="auto"/>
      </w:divBdr>
    </w:div>
    <w:div w:id="919485330">
      <w:bodyDiv w:val="1"/>
      <w:marLeft w:val="0"/>
      <w:marRight w:val="0"/>
      <w:marTop w:val="0"/>
      <w:marBottom w:val="0"/>
      <w:divBdr>
        <w:top w:val="none" w:sz="0" w:space="0" w:color="auto"/>
        <w:left w:val="none" w:sz="0" w:space="0" w:color="auto"/>
        <w:bottom w:val="none" w:sz="0" w:space="0" w:color="auto"/>
        <w:right w:val="none" w:sz="0" w:space="0" w:color="auto"/>
      </w:divBdr>
    </w:div>
    <w:div w:id="947008577">
      <w:bodyDiv w:val="1"/>
      <w:marLeft w:val="0"/>
      <w:marRight w:val="0"/>
      <w:marTop w:val="0"/>
      <w:marBottom w:val="0"/>
      <w:divBdr>
        <w:top w:val="none" w:sz="0" w:space="0" w:color="auto"/>
        <w:left w:val="none" w:sz="0" w:space="0" w:color="auto"/>
        <w:bottom w:val="none" w:sz="0" w:space="0" w:color="auto"/>
        <w:right w:val="none" w:sz="0" w:space="0" w:color="auto"/>
      </w:divBdr>
    </w:div>
    <w:div w:id="1032464357">
      <w:bodyDiv w:val="1"/>
      <w:marLeft w:val="0"/>
      <w:marRight w:val="0"/>
      <w:marTop w:val="0"/>
      <w:marBottom w:val="0"/>
      <w:divBdr>
        <w:top w:val="none" w:sz="0" w:space="0" w:color="auto"/>
        <w:left w:val="none" w:sz="0" w:space="0" w:color="auto"/>
        <w:bottom w:val="none" w:sz="0" w:space="0" w:color="auto"/>
        <w:right w:val="none" w:sz="0" w:space="0" w:color="auto"/>
      </w:divBdr>
    </w:div>
    <w:div w:id="1067268333">
      <w:bodyDiv w:val="1"/>
      <w:marLeft w:val="0"/>
      <w:marRight w:val="0"/>
      <w:marTop w:val="0"/>
      <w:marBottom w:val="0"/>
      <w:divBdr>
        <w:top w:val="none" w:sz="0" w:space="0" w:color="auto"/>
        <w:left w:val="none" w:sz="0" w:space="0" w:color="auto"/>
        <w:bottom w:val="none" w:sz="0" w:space="0" w:color="auto"/>
        <w:right w:val="none" w:sz="0" w:space="0" w:color="auto"/>
      </w:divBdr>
    </w:div>
    <w:div w:id="1160653298">
      <w:bodyDiv w:val="1"/>
      <w:marLeft w:val="0"/>
      <w:marRight w:val="0"/>
      <w:marTop w:val="0"/>
      <w:marBottom w:val="0"/>
      <w:divBdr>
        <w:top w:val="none" w:sz="0" w:space="0" w:color="auto"/>
        <w:left w:val="none" w:sz="0" w:space="0" w:color="auto"/>
        <w:bottom w:val="none" w:sz="0" w:space="0" w:color="auto"/>
        <w:right w:val="none" w:sz="0" w:space="0" w:color="auto"/>
      </w:divBdr>
    </w:div>
    <w:div w:id="1248424907">
      <w:bodyDiv w:val="1"/>
      <w:marLeft w:val="0"/>
      <w:marRight w:val="0"/>
      <w:marTop w:val="0"/>
      <w:marBottom w:val="0"/>
      <w:divBdr>
        <w:top w:val="none" w:sz="0" w:space="0" w:color="auto"/>
        <w:left w:val="none" w:sz="0" w:space="0" w:color="auto"/>
        <w:bottom w:val="none" w:sz="0" w:space="0" w:color="auto"/>
        <w:right w:val="none" w:sz="0" w:space="0" w:color="auto"/>
      </w:divBdr>
    </w:div>
    <w:div w:id="1336804341">
      <w:bodyDiv w:val="1"/>
      <w:marLeft w:val="0"/>
      <w:marRight w:val="0"/>
      <w:marTop w:val="0"/>
      <w:marBottom w:val="0"/>
      <w:divBdr>
        <w:top w:val="none" w:sz="0" w:space="0" w:color="auto"/>
        <w:left w:val="none" w:sz="0" w:space="0" w:color="auto"/>
        <w:bottom w:val="none" w:sz="0" w:space="0" w:color="auto"/>
        <w:right w:val="none" w:sz="0" w:space="0" w:color="auto"/>
      </w:divBdr>
    </w:div>
    <w:div w:id="1385105007">
      <w:bodyDiv w:val="1"/>
      <w:marLeft w:val="0"/>
      <w:marRight w:val="0"/>
      <w:marTop w:val="0"/>
      <w:marBottom w:val="0"/>
      <w:divBdr>
        <w:top w:val="none" w:sz="0" w:space="0" w:color="auto"/>
        <w:left w:val="none" w:sz="0" w:space="0" w:color="auto"/>
        <w:bottom w:val="none" w:sz="0" w:space="0" w:color="auto"/>
        <w:right w:val="none" w:sz="0" w:space="0" w:color="auto"/>
      </w:divBdr>
    </w:div>
    <w:div w:id="1445034865">
      <w:bodyDiv w:val="1"/>
      <w:marLeft w:val="0"/>
      <w:marRight w:val="0"/>
      <w:marTop w:val="0"/>
      <w:marBottom w:val="0"/>
      <w:divBdr>
        <w:top w:val="none" w:sz="0" w:space="0" w:color="auto"/>
        <w:left w:val="none" w:sz="0" w:space="0" w:color="auto"/>
        <w:bottom w:val="none" w:sz="0" w:space="0" w:color="auto"/>
        <w:right w:val="none" w:sz="0" w:space="0" w:color="auto"/>
      </w:divBdr>
    </w:div>
    <w:div w:id="1529561313">
      <w:bodyDiv w:val="1"/>
      <w:marLeft w:val="0"/>
      <w:marRight w:val="0"/>
      <w:marTop w:val="0"/>
      <w:marBottom w:val="0"/>
      <w:divBdr>
        <w:top w:val="none" w:sz="0" w:space="0" w:color="auto"/>
        <w:left w:val="none" w:sz="0" w:space="0" w:color="auto"/>
        <w:bottom w:val="none" w:sz="0" w:space="0" w:color="auto"/>
        <w:right w:val="none" w:sz="0" w:space="0" w:color="auto"/>
      </w:divBdr>
    </w:div>
    <w:div w:id="1595243487">
      <w:bodyDiv w:val="1"/>
      <w:marLeft w:val="0"/>
      <w:marRight w:val="0"/>
      <w:marTop w:val="0"/>
      <w:marBottom w:val="0"/>
      <w:divBdr>
        <w:top w:val="none" w:sz="0" w:space="0" w:color="auto"/>
        <w:left w:val="none" w:sz="0" w:space="0" w:color="auto"/>
        <w:bottom w:val="none" w:sz="0" w:space="0" w:color="auto"/>
        <w:right w:val="none" w:sz="0" w:space="0" w:color="auto"/>
      </w:divBdr>
    </w:div>
    <w:div w:id="1726106578">
      <w:bodyDiv w:val="1"/>
      <w:marLeft w:val="0"/>
      <w:marRight w:val="0"/>
      <w:marTop w:val="0"/>
      <w:marBottom w:val="0"/>
      <w:divBdr>
        <w:top w:val="none" w:sz="0" w:space="0" w:color="auto"/>
        <w:left w:val="none" w:sz="0" w:space="0" w:color="auto"/>
        <w:bottom w:val="none" w:sz="0" w:space="0" w:color="auto"/>
        <w:right w:val="none" w:sz="0" w:space="0" w:color="auto"/>
      </w:divBdr>
    </w:div>
    <w:div w:id="1743134790">
      <w:bodyDiv w:val="1"/>
      <w:marLeft w:val="0"/>
      <w:marRight w:val="0"/>
      <w:marTop w:val="0"/>
      <w:marBottom w:val="0"/>
      <w:divBdr>
        <w:top w:val="none" w:sz="0" w:space="0" w:color="auto"/>
        <w:left w:val="none" w:sz="0" w:space="0" w:color="auto"/>
        <w:bottom w:val="none" w:sz="0" w:space="0" w:color="auto"/>
        <w:right w:val="none" w:sz="0" w:space="0" w:color="auto"/>
      </w:divBdr>
    </w:div>
    <w:div w:id="1743673085">
      <w:bodyDiv w:val="1"/>
      <w:marLeft w:val="0"/>
      <w:marRight w:val="0"/>
      <w:marTop w:val="0"/>
      <w:marBottom w:val="0"/>
      <w:divBdr>
        <w:top w:val="none" w:sz="0" w:space="0" w:color="auto"/>
        <w:left w:val="none" w:sz="0" w:space="0" w:color="auto"/>
        <w:bottom w:val="none" w:sz="0" w:space="0" w:color="auto"/>
        <w:right w:val="none" w:sz="0" w:space="0" w:color="auto"/>
      </w:divBdr>
    </w:div>
    <w:div w:id="1777409320">
      <w:bodyDiv w:val="1"/>
      <w:marLeft w:val="0"/>
      <w:marRight w:val="0"/>
      <w:marTop w:val="0"/>
      <w:marBottom w:val="0"/>
      <w:divBdr>
        <w:top w:val="none" w:sz="0" w:space="0" w:color="auto"/>
        <w:left w:val="none" w:sz="0" w:space="0" w:color="auto"/>
        <w:bottom w:val="none" w:sz="0" w:space="0" w:color="auto"/>
        <w:right w:val="none" w:sz="0" w:space="0" w:color="auto"/>
      </w:divBdr>
    </w:div>
    <w:div w:id="1818645455">
      <w:bodyDiv w:val="1"/>
      <w:marLeft w:val="0"/>
      <w:marRight w:val="0"/>
      <w:marTop w:val="0"/>
      <w:marBottom w:val="0"/>
      <w:divBdr>
        <w:top w:val="none" w:sz="0" w:space="0" w:color="auto"/>
        <w:left w:val="none" w:sz="0" w:space="0" w:color="auto"/>
        <w:bottom w:val="none" w:sz="0" w:space="0" w:color="auto"/>
        <w:right w:val="none" w:sz="0" w:space="0" w:color="auto"/>
      </w:divBdr>
    </w:div>
    <w:div w:id="1921673859">
      <w:bodyDiv w:val="1"/>
      <w:marLeft w:val="0"/>
      <w:marRight w:val="0"/>
      <w:marTop w:val="0"/>
      <w:marBottom w:val="0"/>
      <w:divBdr>
        <w:top w:val="none" w:sz="0" w:space="0" w:color="auto"/>
        <w:left w:val="none" w:sz="0" w:space="0" w:color="auto"/>
        <w:bottom w:val="none" w:sz="0" w:space="0" w:color="auto"/>
        <w:right w:val="none" w:sz="0" w:space="0" w:color="auto"/>
      </w:divBdr>
    </w:div>
    <w:div w:id="2030637704">
      <w:bodyDiv w:val="1"/>
      <w:marLeft w:val="0"/>
      <w:marRight w:val="0"/>
      <w:marTop w:val="0"/>
      <w:marBottom w:val="0"/>
      <w:divBdr>
        <w:top w:val="none" w:sz="0" w:space="0" w:color="auto"/>
        <w:left w:val="none" w:sz="0" w:space="0" w:color="auto"/>
        <w:bottom w:val="none" w:sz="0" w:space="0" w:color="auto"/>
        <w:right w:val="none" w:sz="0" w:space="0" w:color="auto"/>
      </w:divBdr>
    </w:div>
    <w:div w:id="2077193884">
      <w:bodyDiv w:val="1"/>
      <w:marLeft w:val="0"/>
      <w:marRight w:val="0"/>
      <w:marTop w:val="0"/>
      <w:marBottom w:val="0"/>
      <w:divBdr>
        <w:top w:val="none" w:sz="0" w:space="0" w:color="auto"/>
        <w:left w:val="none" w:sz="0" w:space="0" w:color="auto"/>
        <w:bottom w:val="none" w:sz="0" w:space="0" w:color="auto"/>
        <w:right w:val="none" w:sz="0" w:space="0" w:color="auto"/>
      </w:divBdr>
    </w:div>
    <w:div w:id="2125272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rs.org/documents/closer_look/CO4_2012_Closer_Look_Report.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1895</Words>
  <Characters>10802</Characters>
  <Application>Microsoft Macintosh Word</Application>
  <DocSecurity>0</DocSecurity>
  <Lines>90</Lines>
  <Paragraphs>21</Paragraphs>
  <ScaleCrop>false</ScaleCrop>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Soldavini</dc:creator>
  <cp:keywords/>
  <cp:lastModifiedBy>Amy Soldavini</cp:lastModifiedBy>
  <cp:revision>2</cp:revision>
  <dcterms:created xsi:type="dcterms:W3CDTF">2012-09-17T02:34:00Z</dcterms:created>
  <dcterms:modified xsi:type="dcterms:W3CDTF">2012-09-17T02:34:00Z</dcterms:modified>
</cp:coreProperties>
</file>